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275C8" w14:textId="2008CE98" w:rsidR="00D351DC" w:rsidRDefault="00D351DC" w:rsidP="009E592E">
      <w:pPr>
        <w:autoSpaceDE w:val="0"/>
        <w:autoSpaceDN w:val="0"/>
        <w:adjustRightInd w:val="0"/>
        <w:jc w:val="center"/>
        <w:rPr>
          <w:rFonts w:ascii="Arial" w:hAnsi="Arial" w:cs="Arial"/>
          <w:b/>
          <w:bCs/>
          <w:color w:val="006DBF"/>
          <w:sz w:val="20"/>
          <w:szCs w:val="20"/>
        </w:rPr>
      </w:pPr>
    </w:p>
    <w:p w14:paraId="71762C8B" w14:textId="77777777" w:rsidR="00D351DC" w:rsidRDefault="00D351DC" w:rsidP="009E592E">
      <w:pPr>
        <w:autoSpaceDE w:val="0"/>
        <w:autoSpaceDN w:val="0"/>
        <w:adjustRightInd w:val="0"/>
        <w:jc w:val="center"/>
        <w:rPr>
          <w:rFonts w:ascii="Arial" w:hAnsi="Arial" w:cs="Arial"/>
          <w:b/>
          <w:bCs/>
          <w:color w:val="006DBF"/>
          <w:sz w:val="20"/>
          <w:szCs w:val="20"/>
        </w:rPr>
      </w:pPr>
    </w:p>
    <w:p w14:paraId="66D80DBE" w14:textId="3358D1D2" w:rsidR="00F536CF" w:rsidRPr="00D74A1D" w:rsidRDefault="0051301F" w:rsidP="009E592E">
      <w:pPr>
        <w:autoSpaceDE w:val="0"/>
        <w:autoSpaceDN w:val="0"/>
        <w:adjustRightInd w:val="0"/>
        <w:jc w:val="center"/>
        <w:rPr>
          <w:rFonts w:ascii="Arial" w:hAnsi="Arial" w:cs="Arial"/>
          <w:b/>
          <w:bCs/>
          <w:color w:val="006DBF"/>
          <w:sz w:val="20"/>
          <w:szCs w:val="20"/>
        </w:rPr>
      </w:pPr>
      <w:r>
        <w:rPr>
          <w:rFonts w:ascii="Arial" w:hAnsi="Arial" w:cs="Arial"/>
          <w:b/>
          <w:bCs/>
          <w:color w:val="006DBF"/>
          <w:sz w:val="20"/>
          <w:szCs w:val="20"/>
        </w:rPr>
        <w:t>6</w:t>
      </w:r>
      <w:r w:rsidR="00764A08" w:rsidRPr="00764A08">
        <w:rPr>
          <w:rFonts w:ascii="Arial" w:hAnsi="Arial" w:cs="Arial"/>
          <w:b/>
          <w:bCs/>
          <w:color w:val="006DBF"/>
          <w:sz w:val="20"/>
          <w:szCs w:val="20"/>
          <w:vertAlign w:val="superscript"/>
        </w:rPr>
        <w:t>th</w:t>
      </w:r>
      <w:r w:rsidR="00764A08">
        <w:rPr>
          <w:rFonts w:ascii="Arial" w:hAnsi="Arial" w:cs="Arial"/>
          <w:b/>
          <w:bCs/>
          <w:color w:val="006DBF"/>
          <w:sz w:val="20"/>
          <w:szCs w:val="20"/>
        </w:rPr>
        <w:t xml:space="preserve"> </w:t>
      </w:r>
      <w:r w:rsidR="00F536CF" w:rsidRPr="00D74A1D">
        <w:rPr>
          <w:rFonts w:ascii="Arial" w:hAnsi="Arial" w:cs="Arial"/>
          <w:b/>
          <w:bCs/>
          <w:color w:val="006DBF"/>
          <w:sz w:val="20"/>
          <w:szCs w:val="20"/>
        </w:rPr>
        <w:t xml:space="preserve">meeting of the CIOMS Working Group on </w:t>
      </w:r>
      <w:r w:rsidR="00F536CF" w:rsidRPr="00D74A1D">
        <w:rPr>
          <w:rFonts w:ascii="Arial" w:eastAsia="PMingLiU" w:hAnsi="Arial" w:cs="Arial"/>
          <w:b/>
          <w:bCs/>
          <w:color w:val="2E74B6"/>
          <w:sz w:val="20"/>
          <w:szCs w:val="20"/>
        </w:rPr>
        <w:t>Recommended Standards of Education and Training for Health Professionals Participating in Medicines Development</w:t>
      </w:r>
    </w:p>
    <w:p w14:paraId="09942D49" w14:textId="77777777" w:rsidR="00F536CF" w:rsidRDefault="00F536CF" w:rsidP="009E592E">
      <w:pPr>
        <w:jc w:val="center"/>
        <w:rPr>
          <w:rFonts w:ascii="Arial" w:hAnsi="Arial" w:cs="Arial"/>
          <w:b/>
          <w:bCs/>
          <w:sz w:val="20"/>
          <w:szCs w:val="20"/>
        </w:rPr>
      </w:pPr>
    </w:p>
    <w:p w14:paraId="1499F548" w14:textId="638B8D4E" w:rsidR="00F536CF" w:rsidRPr="00D74A1D" w:rsidRDefault="0051301F" w:rsidP="009E592E">
      <w:pPr>
        <w:jc w:val="center"/>
        <w:rPr>
          <w:rFonts w:ascii="Arial" w:hAnsi="Arial" w:cs="Arial"/>
          <w:b/>
          <w:bCs/>
          <w:sz w:val="20"/>
          <w:szCs w:val="20"/>
        </w:rPr>
      </w:pPr>
      <w:r>
        <w:rPr>
          <w:rFonts w:ascii="Arial" w:hAnsi="Arial" w:cs="Arial"/>
          <w:b/>
          <w:bCs/>
          <w:sz w:val="20"/>
          <w:szCs w:val="20"/>
        </w:rPr>
        <w:t>26 Octob</w:t>
      </w:r>
      <w:r w:rsidR="00F536CF">
        <w:rPr>
          <w:rFonts w:ascii="Arial" w:hAnsi="Arial" w:cs="Arial"/>
          <w:b/>
          <w:bCs/>
          <w:sz w:val="20"/>
          <w:szCs w:val="20"/>
        </w:rPr>
        <w:t xml:space="preserve">er </w:t>
      </w:r>
      <w:r w:rsidR="00764A08">
        <w:rPr>
          <w:rFonts w:ascii="Arial" w:hAnsi="Arial" w:cs="Arial"/>
          <w:b/>
          <w:bCs/>
          <w:sz w:val="20"/>
          <w:szCs w:val="20"/>
        </w:rPr>
        <w:t>2023</w:t>
      </w:r>
    </w:p>
    <w:p w14:paraId="716381A0" w14:textId="77777777" w:rsidR="00F536CF" w:rsidRPr="00D74A1D" w:rsidRDefault="00F536CF" w:rsidP="00F536CF">
      <w:pPr>
        <w:jc w:val="center"/>
        <w:rPr>
          <w:rFonts w:ascii="Arial" w:hAnsi="Arial" w:cs="Arial"/>
          <w:b/>
          <w:bCs/>
          <w:sz w:val="20"/>
          <w:szCs w:val="20"/>
        </w:rPr>
      </w:pPr>
    </w:p>
    <w:p w14:paraId="1170D95B" w14:textId="77777777" w:rsidR="00F536CF" w:rsidRPr="00C27CA8" w:rsidRDefault="00F536CF" w:rsidP="00173477">
      <w:pPr>
        <w:pStyle w:val="Heading1"/>
        <w:spacing w:before="0"/>
        <w:jc w:val="center"/>
        <w:rPr>
          <w:rFonts w:ascii="Arial" w:hAnsi="Arial" w:cs="Arial"/>
          <w:color w:val="2E74B5" w:themeColor="accent1" w:themeShade="BF"/>
          <w:sz w:val="24"/>
          <w:szCs w:val="24"/>
        </w:rPr>
      </w:pPr>
      <w:r w:rsidRPr="00C27CA8">
        <w:rPr>
          <w:rFonts w:ascii="Arial" w:hAnsi="Arial" w:cs="Arial"/>
          <w:color w:val="2E74B5" w:themeColor="accent1" w:themeShade="BF"/>
          <w:sz w:val="24"/>
          <w:szCs w:val="24"/>
        </w:rPr>
        <w:t>Meeting Minutes</w:t>
      </w:r>
    </w:p>
    <w:p w14:paraId="314F1FD9" w14:textId="77777777" w:rsidR="00BB4FDB" w:rsidRDefault="00BB4FDB" w:rsidP="00BB4FDB">
      <w:pPr>
        <w:rPr>
          <w:lang w:eastAsia="en-US"/>
        </w:rPr>
      </w:pPr>
    </w:p>
    <w:p w14:paraId="43858C9E" w14:textId="77777777" w:rsidR="00BB4FDB" w:rsidRPr="00D92856" w:rsidRDefault="00D92856" w:rsidP="00BB4FDB">
      <w:pPr>
        <w:rPr>
          <w:rFonts w:ascii="Arial" w:hAnsi="Arial" w:cs="Arial"/>
          <w:b/>
          <w:sz w:val="22"/>
          <w:szCs w:val="22"/>
          <w:lang w:eastAsia="en-US"/>
        </w:rPr>
      </w:pPr>
      <w:r>
        <w:rPr>
          <w:rFonts w:ascii="Arial" w:hAnsi="Arial" w:cs="Arial"/>
          <w:b/>
          <w:sz w:val="22"/>
          <w:szCs w:val="22"/>
          <w:lang w:eastAsia="en-US"/>
        </w:rPr>
        <w:t>Participants:</w:t>
      </w:r>
    </w:p>
    <w:p w14:paraId="7570597E" w14:textId="5AF939FB" w:rsidR="00F536CF" w:rsidRPr="00EE50F1" w:rsidRDefault="00BB4FDB" w:rsidP="00F32C18">
      <w:pPr>
        <w:spacing w:after="160" w:line="259" w:lineRule="auto"/>
        <w:ind w:right="-188"/>
        <w:rPr>
          <w:rFonts w:ascii="Arial" w:eastAsiaTheme="minorHAnsi" w:hAnsi="Arial" w:cs="Arial"/>
          <w:sz w:val="22"/>
          <w:szCs w:val="22"/>
          <w:lang w:val="pt-BR" w:eastAsia="en-US"/>
        </w:rPr>
      </w:pPr>
      <w:r w:rsidRPr="00EE50F1">
        <w:rPr>
          <w:rFonts w:ascii="Arial" w:eastAsiaTheme="minorHAnsi" w:hAnsi="Arial" w:cs="Arial"/>
          <w:sz w:val="22"/>
          <w:szCs w:val="22"/>
          <w:lang w:val="pt-BR" w:eastAsia="en-US"/>
        </w:rPr>
        <w:t>Enrica Alteri (University of Geneva</w:t>
      </w:r>
      <w:r w:rsidRPr="0081738A">
        <w:rPr>
          <w:rFonts w:ascii="Arial" w:eastAsiaTheme="minorHAnsi" w:hAnsi="Arial" w:cs="Arial"/>
          <w:sz w:val="22"/>
          <w:szCs w:val="22"/>
          <w:lang w:val="pt-BR" w:eastAsia="en-US"/>
        </w:rPr>
        <w:t>),</w:t>
      </w:r>
      <w:r w:rsidRPr="0081738A">
        <w:rPr>
          <w:rFonts w:ascii="Arial" w:hAnsi="Arial" w:cs="Arial"/>
          <w:sz w:val="22"/>
          <w:szCs w:val="22"/>
        </w:rPr>
        <w:t xml:space="preserve"> </w:t>
      </w:r>
      <w:r w:rsidR="000E68A9" w:rsidRPr="000E68A9">
        <w:rPr>
          <w:rFonts w:ascii="Arial" w:hAnsi="Arial" w:cs="Arial"/>
          <w:sz w:val="22"/>
          <w:szCs w:val="22"/>
        </w:rPr>
        <w:t xml:space="preserve">Priya </w:t>
      </w:r>
      <w:proofErr w:type="spellStart"/>
      <w:r w:rsidR="000E68A9" w:rsidRPr="000E68A9">
        <w:rPr>
          <w:rFonts w:ascii="Arial" w:hAnsi="Arial" w:cs="Arial"/>
          <w:sz w:val="22"/>
          <w:szCs w:val="22"/>
        </w:rPr>
        <w:t>Bahri</w:t>
      </w:r>
      <w:proofErr w:type="spellEnd"/>
      <w:r w:rsidR="000E68A9" w:rsidRPr="000E68A9">
        <w:rPr>
          <w:rFonts w:ascii="Arial" w:hAnsi="Arial" w:cs="Arial"/>
          <w:sz w:val="22"/>
          <w:szCs w:val="22"/>
        </w:rPr>
        <w:t xml:space="preserve"> (EMA), </w:t>
      </w:r>
      <w:r w:rsidR="0081738A" w:rsidRPr="00DE154D">
        <w:rPr>
          <w:rFonts w:ascii="Arial" w:hAnsi="Arial" w:cs="Arial"/>
          <w:sz w:val="22"/>
          <w:szCs w:val="22"/>
        </w:rPr>
        <w:t xml:space="preserve">Barbara </w:t>
      </w:r>
      <w:proofErr w:type="spellStart"/>
      <w:r w:rsidR="0081738A" w:rsidRPr="00DE154D">
        <w:rPr>
          <w:rFonts w:ascii="Arial" w:hAnsi="Arial" w:cs="Arial"/>
          <w:sz w:val="22"/>
          <w:szCs w:val="22"/>
        </w:rPr>
        <w:t>Bierer</w:t>
      </w:r>
      <w:proofErr w:type="spellEnd"/>
      <w:r w:rsidR="0081738A" w:rsidRPr="00DE154D">
        <w:rPr>
          <w:rFonts w:ascii="Arial" w:hAnsi="Arial" w:cs="Arial"/>
          <w:sz w:val="22"/>
          <w:szCs w:val="22"/>
        </w:rPr>
        <w:t xml:space="preserve"> (Harvard University),</w:t>
      </w:r>
      <w:r w:rsidR="0081738A" w:rsidRPr="0081738A">
        <w:rPr>
          <w:rFonts w:ascii="Arial" w:hAnsi="Arial" w:cs="Arial"/>
          <w:sz w:val="22"/>
          <w:szCs w:val="22"/>
        </w:rPr>
        <w:t xml:space="preserve"> </w:t>
      </w:r>
      <w:r w:rsidRPr="00741640">
        <w:rPr>
          <w:rFonts w:ascii="Arial" w:eastAsiaTheme="minorHAnsi" w:hAnsi="Arial" w:cs="Arial"/>
          <w:sz w:val="22"/>
          <w:szCs w:val="22"/>
          <w:lang w:val="pt-BR" w:eastAsia="en-US"/>
        </w:rPr>
        <w:t xml:space="preserve">Malcolm Brown (Astellas), </w:t>
      </w:r>
      <w:r w:rsidR="000E68A9" w:rsidRPr="00DE154D">
        <w:rPr>
          <w:rFonts w:ascii="Arial" w:eastAsiaTheme="minorHAnsi" w:hAnsi="Arial" w:cs="Arial"/>
          <w:sz w:val="22"/>
          <w:szCs w:val="22"/>
          <w:lang w:val="pt-BR" w:eastAsia="en-US"/>
        </w:rPr>
        <w:t>Pravin Chopra (IFAPP Academy),</w:t>
      </w:r>
      <w:r w:rsidR="000E68A9" w:rsidRPr="000E68A9">
        <w:rPr>
          <w:rFonts w:ascii="Arial" w:eastAsiaTheme="minorHAnsi" w:hAnsi="Arial" w:cs="Arial"/>
          <w:sz w:val="22"/>
          <w:szCs w:val="22"/>
          <w:lang w:val="pt-BR" w:eastAsia="en-US"/>
        </w:rPr>
        <w:t xml:space="preserve"> </w:t>
      </w:r>
      <w:r w:rsidRPr="0081738A">
        <w:rPr>
          <w:rFonts w:ascii="Arial" w:eastAsiaTheme="minorHAnsi" w:hAnsi="Arial" w:cs="Arial"/>
          <w:sz w:val="22"/>
          <w:szCs w:val="22"/>
          <w:lang w:val="pt-BR" w:eastAsia="en-US"/>
        </w:rPr>
        <w:t>Domenico Criscuolo (Italian Society of Pharmaceutical Medicine</w:t>
      </w:r>
      <w:r w:rsidRPr="00EE50F1">
        <w:rPr>
          <w:rFonts w:ascii="Arial" w:eastAsiaTheme="minorHAnsi" w:hAnsi="Arial" w:cs="Arial"/>
          <w:sz w:val="22"/>
          <w:szCs w:val="22"/>
          <w:lang w:val="pt-BR" w:eastAsia="en-US"/>
        </w:rPr>
        <w:t xml:space="preserve">), Andrzej Czarnecki (Eli Lilly), </w:t>
      </w:r>
      <w:r w:rsidR="0051301F">
        <w:rPr>
          <w:rFonts w:ascii="Arial" w:hAnsi="Arial" w:cs="Arial"/>
          <w:sz w:val="22"/>
          <w:szCs w:val="22"/>
        </w:rPr>
        <w:t xml:space="preserve">Matthew Farmer (Astra Zeneca), </w:t>
      </w:r>
      <w:r w:rsidR="00745D86" w:rsidRPr="00745D86">
        <w:rPr>
          <w:rFonts w:ascii="Arial" w:hAnsi="Arial" w:cs="Arial"/>
          <w:sz w:val="22"/>
          <w:szCs w:val="22"/>
        </w:rPr>
        <w:t xml:space="preserve">Sophia </w:t>
      </w:r>
      <w:proofErr w:type="spellStart"/>
      <w:r w:rsidR="00745D86" w:rsidRPr="00745D86">
        <w:rPr>
          <w:rFonts w:ascii="Arial" w:hAnsi="Arial" w:cs="Arial"/>
          <w:sz w:val="22"/>
          <w:szCs w:val="22"/>
        </w:rPr>
        <w:t>Goodison</w:t>
      </w:r>
      <w:proofErr w:type="spellEnd"/>
      <w:r w:rsidR="00745D86" w:rsidRPr="00745D86">
        <w:rPr>
          <w:rFonts w:ascii="Arial" w:hAnsi="Arial" w:cs="Arial"/>
          <w:sz w:val="22"/>
          <w:szCs w:val="22"/>
        </w:rPr>
        <w:t xml:space="preserve"> (GSK), </w:t>
      </w:r>
      <w:proofErr w:type="spellStart"/>
      <w:r w:rsidR="00DE154D" w:rsidRPr="00DE154D">
        <w:rPr>
          <w:rFonts w:ascii="Arial" w:hAnsi="Arial" w:cs="Arial"/>
          <w:sz w:val="22"/>
          <w:szCs w:val="22"/>
        </w:rPr>
        <w:t>Rieke</w:t>
      </w:r>
      <w:proofErr w:type="spellEnd"/>
      <w:r w:rsidR="00DE154D" w:rsidRPr="00DE154D">
        <w:rPr>
          <w:rFonts w:ascii="Arial" w:hAnsi="Arial" w:cs="Arial"/>
          <w:sz w:val="22"/>
          <w:szCs w:val="22"/>
        </w:rPr>
        <w:t xml:space="preserve"> van der </w:t>
      </w:r>
      <w:proofErr w:type="spellStart"/>
      <w:r w:rsidR="00DE154D" w:rsidRPr="00DE154D">
        <w:rPr>
          <w:rFonts w:ascii="Arial" w:hAnsi="Arial" w:cs="Arial"/>
          <w:sz w:val="22"/>
          <w:szCs w:val="22"/>
        </w:rPr>
        <w:t>Graaf</w:t>
      </w:r>
      <w:proofErr w:type="spellEnd"/>
      <w:r w:rsidR="00DE154D" w:rsidRPr="00DE154D">
        <w:rPr>
          <w:rFonts w:ascii="Arial" w:hAnsi="Arial" w:cs="Arial"/>
          <w:sz w:val="22"/>
          <w:szCs w:val="22"/>
        </w:rPr>
        <w:t xml:space="preserve"> (University of Utrecht), Tim Higenbottam (Faculty of Pharmaceutical Medicine, Royal Colleges of Medicine)</w:t>
      </w:r>
      <w:r w:rsidRPr="00EE50F1">
        <w:rPr>
          <w:rFonts w:ascii="Arial" w:eastAsiaTheme="minorHAnsi" w:hAnsi="Arial" w:cs="Arial"/>
          <w:sz w:val="22"/>
          <w:szCs w:val="22"/>
          <w:lang w:val="pt-BR" w:eastAsia="en-US"/>
        </w:rPr>
        <w:t xml:space="preserve">Sandor Kerpel-Fronius (Semmelweiss University), </w:t>
      </w:r>
      <w:r w:rsidR="000E68A9" w:rsidRPr="000E68A9">
        <w:rPr>
          <w:rFonts w:ascii="Arial" w:eastAsiaTheme="minorHAnsi" w:hAnsi="Arial" w:cs="Arial"/>
          <w:sz w:val="22"/>
          <w:szCs w:val="22"/>
          <w:lang w:val="pt-BR" w:eastAsia="en-US"/>
        </w:rPr>
        <w:t>Gustavo Kesselring (IFAPP Academy)</w:t>
      </w:r>
      <w:r w:rsidR="000E68A9">
        <w:rPr>
          <w:rFonts w:ascii="Arial" w:eastAsiaTheme="minorHAnsi" w:hAnsi="Arial" w:cs="Arial"/>
          <w:sz w:val="22"/>
          <w:szCs w:val="22"/>
          <w:lang w:val="pt-BR" w:eastAsia="en-US"/>
        </w:rPr>
        <w:t xml:space="preserve">, </w:t>
      </w:r>
      <w:r w:rsidR="0051301F">
        <w:rPr>
          <w:rFonts w:ascii="Arial" w:eastAsiaTheme="minorHAnsi" w:hAnsi="Arial" w:cs="Arial"/>
          <w:sz w:val="22"/>
          <w:szCs w:val="22"/>
          <w:lang w:val="pt-BR" w:eastAsia="en-US"/>
        </w:rPr>
        <w:t xml:space="preserve">Simon Maxwell (University of Edinburgh), </w:t>
      </w:r>
      <w:r w:rsidR="00DE154D">
        <w:rPr>
          <w:rFonts w:ascii="Arial" w:eastAsiaTheme="minorHAnsi" w:hAnsi="Arial" w:cs="Arial"/>
          <w:sz w:val="22"/>
          <w:szCs w:val="22"/>
          <w:lang w:val="pt-BR" w:eastAsia="en-US"/>
        </w:rPr>
        <w:t xml:space="preserve">Liming Shao (Fudan University), </w:t>
      </w:r>
      <w:r w:rsidRPr="00EE50F1">
        <w:rPr>
          <w:rFonts w:ascii="Arial" w:eastAsiaTheme="minorHAnsi" w:hAnsi="Arial" w:cs="Arial"/>
          <w:sz w:val="22"/>
          <w:szCs w:val="22"/>
          <w:lang w:val="pt-BR" w:eastAsia="en-US"/>
        </w:rPr>
        <w:t xml:space="preserve">Honorio Silva (IFAPP Academy), </w:t>
      </w:r>
      <w:r w:rsidR="000E68A9" w:rsidRPr="00745D86">
        <w:rPr>
          <w:rFonts w:ascii="Arial" w:eastAsiaTheme="minorHAnsi" w:hAnsi="Arial" w:cs="Arial"/>
          <w:sz w:val="22"/>
          <w:szCs w:val="22"/>
          <w:lang w:val="pt-BR" w:eastAsia="en-US"/>
        </w:rPr>
        <w:t>Ena Singh (Pfizer),</w:t>
      </w:r>
      <w:r w:rsidR="000E68A9">
        <w:rPr>
          <w:rFonts w:ascii="Arial" w:eastAsiaTheme="minorHAnsi" w:hAnsi="Arial" w:cs="Arial"/>
          <w:sz w:val="22"/>
          <w:szCs w:val="22"/>
          <w:lang w:val="pt-BR" w:eastAsia="en-US"/>
        </w:rPr>
        <w:t xml:space="preserve"> </w:t>
      </w:r>
      <w:r w:rsidRPr="00EE50F1">
        <w:rPr>
          <w:rFonts w:ascii="Arial" w:eastAsiaTheme="minorHAnsi" w:hAnsi="Arial" w:cs="Arial"/>
          <w:sz w:val="22"/>
          <w:szCs w:val="22"/>
          <w:lang w:val="pt-BR" w:eastAsia="en-US"/>
        </w:rPr>
        <w:t xml:space="preserve">Stephen Sonstein (Committee on Accreditation of Academic Programs in Clinical Research), </w:t>
      </w:r>
      <w:r w:rsidR="00DE154D" w:rsidRPr="00DE154D">
        <w:rPr>
          <w:rFonts w:ascii="Arial" w:eastAsiaTheme="minorHAnsi" w:hAnsi="Arial" w:cs="Arial"/>
          <w:sz w:val="22"/>
          <w:szCs w:val="22"/>
          <w:lang w:val="pt-BR" w:eastAsia="en-US"/>
        </w:rPr>
        <w:t>Peter Stonier (Faculty of Pharmaceutical Medicine, Royal Colleges of Medicine),</w:t>
      </w:r>
      <w:r w:rsidR="00DE154D" w:rsidRPr="00DE154D">
        <w:t xml:space="preserve"> </w:t>
      </w:r>
      <w:r w:rsidR="00DE154D" w:rsidRPr="00DE154D">
        <w:rPr>
          <w:rFonts w:ascii="Arial" w:eastAsiaTheme="minorHAnsi" w:hAnsi="Arial" w:cs="Arial"/>
          <w:sz w:val="22"/>
          <w:szCs w:val="22"/>
          <w:lang w:val="pt-BR" w:eastAsia="en-US"/>
        </w:rPr>
        <w:t>Roberto Verna (World Association of Societies of Pathology and Laboratory Medicine)</w:t>
      </w:r>
      <w:r w:rsidR="00DE154D">
        <w:rPr>
          <w:rFonts w:ascii="Arial" w:eastAsiaTheme="minorHAnsi" w:hAnsi="Arial" w:cs="Arial"/>
          <w:sz w:val="22"/>
          <w:szCs w:val="22"/>
          <w:lang w:val="pt-BR" w:eastAsia="en-US"/>
        </w:rPr>
        <w:t>,</w:t>
      </w:r>
      <w:r w:rsidR="00DE154D" w:rsidRPr="00DE154D">
        <w:t xml:space="preserve"> </w:t>
      </w:r>
      <w:r w:rsidR="00DE154D" w:rsidRPr="00DE154D">
        <w:rPr>
          <w:rFonts w:ascii="Arial" w:eastAsiaTheme="minorHAnsi" w:hAnsi="Arial" w:cs="Arial"/>
          <w:sz w:val="22"/>
          <w:szCs w:val="22"/>
          <w:lang w:val="pt-BR" w:eastAsia="en-US"/>
        </w:rPr>
        <w:t>Haruko Yamamoto (PMDA).</w:t>
      </w:r>
    </w:p>
    <w:p w14:paraId="4017BAFC" w14:textId="2E529AAC" w:rsidR="000E68A9" w:rsidRPr="00DE154D" w:rsidRDefault="00BB4FDB" w:rsidP="00DE154D">
      <w:pPr>
        <w:spacing w:after="160" w:line="259" w:lineRule="auto"/>
        <w:ind w:right="-188"/>
        <w:rPr>
          <w:rFonts w:ascii="Arial" w:eastAsiaTheme="minorHAnsi" w:hAnsi="Arial" w:cs="Arial"/>
          <w:sz w:val="22"/>
          <w:szCs w:val="22"/>
          <w:lang w:val="pt-BR" w:eastAsia="en-US"/>
        </w:rPr>
      </w:pPr>
      <w:r w:rsidRPr="00DE154D">
        <w:rPr>
          <w:rFonts w:ascii="Arial" w:hAnsi="Arial" w:cs="Arial"/>
          <w:b/>
          <w:sz w:val="22"/>
          <w:szCs w:val="22"/>
          <w:lang w:val="pt-BR"/>
        </w:rPr>
        <w:t>Regrets</w:t>
      </w:r>
      <w:r w:rsidRPr="00DE154D">
        <w:rPr>
          <w:rFonts w:ascii="Arial" w:hAnsi="Arial" w:cs="Arial"/>
          <w:sz w:val="22"/>
          <w:szCs w:val="22"/>
          <w:lang w:val="pt-BR"/>
        </w:rPr>
        <w:t>:</w:t>
      </w:r>
      <w:r w:rsidR="008A250C" w:rsidRPr="00DE154D">
        <w:rPr>
          <w:rFonts w:ascii="Arial" w:hAnsi="Arial" w:cs="Arial"/>
          <w:sz w:val="22"/>
          <w:szCs w:val="22"/>
          <w:lang w:val="pt-BR"/>
        </w:rPr>
        <w:t xml:space="preserve"> David Gordon (WFME), </w:t>
      </w:r>
      <w:r w:rsidR="00741640" w:rsidRPr="00DE154D">
        <w:rPr>
          <w:rFonts w:ascii="Arial" w:hAnsi="Arial" w:cs="Arial"/>
          <w:sz w:val="22"/>
          <w:szCs w:val="22"/>
          <w:lang w:val="pt-BR"/>
        </w:rPr>
        <w:t xml:space="preserve">Luther Gwaza (WHO), </w:t>
      </w:r>
      <w:r w:rsidR="00DE154D" w:rsidRPr="00DE154D">
        <w:rPr>
          <w:rFonts w:ascii="Arial" w:hAnsi="Arial" w:cs="Arial"/>
          <w:sz w:val="22"/>
          <w:szCs w:val="22"/>
          <w:lang w:val="pt-BR"/>
        </w:rPr>
        <w:t xml:space="preserve">Stuart Jones (King’s College, London), Kenneth Kaitin (Tufts University), </w:t>
      </w:r>
      <w:r w:rsidR="00996F89" w:rsidRPr="00DE154D">
        <w:rPr>
          <w:rFonts w:ascii="Arial" w:hAnsi="Arial" w:cs="Arial"/>
          <w:sz w:val="22"/>
          <w:szCs w:val="22"/>
          <w:lang w:val="pt-BR"/>
        </w:rPr>
        <w:t xml:space="preserve">Ingrid Klingmann (President, PharmaTrain), Nilima Kshirsagar (ICMR, India), </w:t>
      </w:r>
      <w:r w:rsidR="00DE154D" w:rsidRPr="00DE154D">
        <w:rPr>
          <w:rFonts w:ascii="Arial" w:hAnsi="Arial" w:cs="Arial"/>
          <w:sz w:val="22"/>
          <w:szCs w:val="22"/>
          <w:lang w:val="pt-BR"/>
        </w:rPr>
        <w:t xml:space="preserve">Michelle Limoli (FDA), </w:t>
      </w:r>
      <w:r w:rsidR="00741640" w:rsidRPr="00DE154D">
        <w:rPr>
          <w:rFonts w:ascii="Arial" w:hAnsi="Arial" w:cs="Arial"/>
          <w:sz w:val="22"/>
          <w:szCs w:val="22"/>
          <w:lang w:val="pt-BR"/>
        </w:rPr>
        <w:t>Ic</w:t>
      </w:r>
      <w:r w:rsidR="00CB1612">
        <w:rPr>
          <w:rFonts w:ascii="Arial" w:hAnsi="Arial" w:cs="Arial"/>
          <w:sz w:val="22"/>
          <w:szCs w:val="22"/>
          <w:lang w:val="pt-BR"/>
        </w:rPr>
        <w:t>hiro Uchida (Osaka University)</w:t>
      </w:r>
    </w:p>
    <w:p w14:paraId="696D1981" w14:textId="77777777" w:rsidR="0037525E" w:rsidRPr="00EE50F1" w:rsidRDefault="0037525E">
      <w:pPr>
        <w:rPr>
          <w:rFonts w:ascii="Arial" w:hAnsi="Arial" w:cs="Arial"/>
          <w:sz w:val="22"/>
          <w:szCs w:val="22"/>
        </w:rPr>
      </w:pPr>
      <w:r w:rsidRPr="00EE50F1">
        <w:rPr>
          <w:rFonts w:ascii="Arial" w:hAnsi="Arial" w:cs="Arial"/>
          <w:b/>
          <w:sz w:val="22"/>
          <w:szCs w:val="22"/>
        </w:rPr>
        <w:t>Secretariat:</w:t>
      </w:r>
      <w:r w:rsidRPr="00EE50F1">
        <w:rPr>
          <w:rFonts w:ascii="Arial" w:hAnsi="Arial" w:cs="Arial"/>
          <w:sz w:val="22"/>
          <w:szCs w:val="22"/>
        </w:rPr>
        <w:t xml:space="preserve"> Lembit Rago, Catherine Bates</w:t>
      </w:r>
    </w:p>
    <w:p w14:paraId="19786067" w14:textId="77777777" w:rsidR="0037525E" w:rsidRDefault="0037525E">
      <w:pPr>
        <w:rPr>
          <w:rFonts w:ascii="Arial" w:hAnsi="Arial" w:cs="Arial"/>
          <w:sz w:val="22"/>
          <w:szCs w:val="22"/>
        </w:rPr>
      </w:pPr>
    </w:p>
    <w:p w14:paraId="5DA07914" w14:textId="1441B207" w:rsidR="00EC7F19" w:rsidRPr="00114585" w:rsidRDefault="00CB1612" w:rsidP="00EC7F19">
      <w:pPr>
        <w:pStyle w:val="ListParagraph"/>
        <w:ind w:left="0"/>
        <w:rPr>
          <w:rFonts w:ascii="Arial" w:hAnsi="Arial" w:cs="Arial"/>
          <w:b/>
          <w:color w:val="2E74B5" w:themeColor="accent1" w:themeShade="BF"/>
          <w:sz w:val="22"/>
          <w:szCs w:val="22"/>
        </w:rPr>
      </w:pPr>
      <w:r w:rsidRPr="00114585">
        <w:rPr>
          <w:rFonts w:ascii="Arial" w:hAnsi="Arial" w:cs="Arial"/>
          <w:b/>
          <w:color w:val="2E74B5" w:themeColor="accent1" w:themeShade="BF"/>
          <w:sz w:val="22"/>
          <w:szCs w:val="22"/>
        </w:rPr>
        <w:t xml:space="preserve">Minutes of </w:t>
      </w:r>
      <w:r w:rsidR="00114585">
        <w:rPr>
          <w:rFonts w:ascii="Arial" w:hAnsi="Arial" w:cs="Arial"/>
          <w:b/>
          <w:color w:val="2E74B5" w:themeColor="accent1" w:themeShade="BF"/>
          <w:sz w:val="22"/>
          <w:szCs w:val="22"/>
        </w:rPr>
        <w:t xml:space="preserve">the </w:t>
      </w:r>
      <w:r w:rsidRPr="00114585">
        <w:rPr>
          <w:rFonts w:ascii="Arial" w:hAnsi="Arial" w:cs="Arial"/>
          <w:b/>
          <w:color w:val="2E74B5" w:themeColor="accent1" w:themeShade="BF"/>
          <w:sz w:val="22"/>
          <w:szCs w:val="22"/>
        </w:rPr>
        <w:t>5</w:t>
      </w:r>
      <w:r w:rsidRPr="00114585">
        <w:rPr>
          <w:rFonts w:ascii="Arial" w:hAnsi="Arial" w:cs="Arial"/>
          <w:b/>
          <w:color w:val="2E74B5" w:themeColor="accent1" w:themeShade="BF"/>
          <w:sz w:val="22"/>
          <w:szCs w:val="22"/>
          <w:vertAlign w:val="superscript"/>
        </w:rPr>
        <w:t>th</w:t>
      </w:r>
      <w:r w:rsidRPr="00114585">
        <w:rPr>
          <w:rFonts w:ascii="Arial" w:hAnsi="Arial" w:cs="Arial"/>
          <w:b/>
          <w:color w:val="2E74B5" w:themeColor="accent1" w:themeShade="BF"/>
          <w:sz w:val="22"/>
          <w:szCs w:val="22"/>
        </w:rPr>
        <w:t xml:space="preserve"> WG</w:t>
      </w:r>
      <w:r w:rsidR="00114585" w:rsidRPr="00114585">
        <w:rPr>
          <w:rFonts w:ascii="Arial" w:hAnsi="Arial" w:cs="Arial"/>
          <w:b/>
          <w:color w:val="2E74B5" w:themeColor="accent1" w:themeShade="BF"/>
          <w:sz w:val="22"/>
          <w:szCs w:val="22"/>
        </w:rPr>
        <w:t xml:space="preserve">/ </w:t>
      </w:r>
      <w:r w:rsidR="00114585">
        <w:rPr>
          <w:rFonts w:ascii="Arial" w:hAnsi="Arial" w:cs="Arial"/>
          <w:b/>
          <w:color w:val="2E74B5" w:themeColor="accent1" w:themeShade="BF"/>
          <w:sz w:val="22"/>
          <w:szCs w:val="22"/>
        </w:rPr>
        <w:t xml:space="preserve">greater clarity on definition of </w:t>
      </w:r>
      <w:r w:rsidR="00114585" w:rsidRPr="00114585">
        <w:rPr>
          <w:rFonts w:ascii="Arial" w:hAnsi="Arial" w:cs="Arial"/>
          <w:b/>
          <w:color w:val="2E74B5" w:themeColor="accent1" w:themeShade="BF"/>
          <w:sz w:val="22"/>
          <w:szCs w:val="22"/>
        </w:rPr>
        <w:t>HCP audience</w:t>
      </w:r>
    </w:p>
    <w:p w14:paraId="7C298E79" w14:textId="2368B5D5" w:rsidR="00AA2ADE" w:rsidRDefault="00CB1612" w:rsidP="00AA2ADE">
      <w:pPr>
        <w:pStyle w:val="ListParagraph"/>
        <w:ind w:left="0" w:right="-24"/>
        <w:rPr>
          <w:rFonts w:ascii="Arial" w:hAnsi="Arial" w:cs="Arial"/>
          <w:sz w:val="22"/>
          <w:szCs w:val="22"/>
        </w:rPr>
      </w:pPr>
      <w:r>
        <w:rPr>
          <w:rFonts w:ascii="Arial" w:hAnsi="Arial" w:cs="Arial"/>
          <w:sz w:val="22"/>
          <w:szCs w:val="22"/>
        </w:rPr>
        <w:t>T</w:t>
      </w:r>
      <w:r w:rsidR="002E0004">
        <w:rPr>
          <w:rFonts w:ascii="Arial" w:hAnsi="Arial" w:cs="Arial"/>
          <w:sz w:val="22"/>
          <w:szCs w:val="22"/>
        </w:rPr>
        <w:t xml:space="preserve">he group </w:t>
      </w:r>
      <w:r w:rsidR="006B51DB">
        <w:rPr>
          <w:rFonts w:ascii="Arial" w:hAnsi="Arial" w:cs="Arial"/>
          <w:sz w:val="22"/>
          <w:szCs w:val="22"/>
        </w:rPr>
        <w:t>reviewed the comments in the minutes and discussed the compositi</w:t>
      </w:r>
      <w:r w:rsidR="00AA2ADE">
        <w:rPr>
          <w:rFonts w:ascii="Arial" w:hAnsi="Arial" w:cs="Arial"/>
          <w:sz w:val="22"/>
          <w:szCs w:val="22"/>
        </w:rPr>
        <w:t>on of the “HCPs directly involved in medicine development” audience, namely</w:t>
      </w:r>
    </w:p>
    <w:p w14:paraId="6E0ABF72" w14:textId="77777777" w:rsidR="00AA2ADE" w:rsidRDefault="00AA2ADE" w:rsidP="00AA2ADE">
      <w:pPr>
        <w:pStyle w:val="ListParagraph"/>
        <w:ind w:left="0" w:right="-24"/>
        <w:rPr>
          <w:rFonts w:ascii="Arial" w:hAnsi="Arial" w:cs="Arial"/>
          <w:sz w:val="22"/>
          <w:szCs w:val="22"/>
        </w:rPr>
      </w:pPr>
    </w:p>
    <w:p w14:paraId="56ACEAF3" w14:textId="2CA3A09D" w:rsidR="00AA2ADE" w:rsidRDefault="00AA2ADE" w:rsidP="00AA2ADE">
      <w:pPr>
        <w:pStyle w:val="ListParagraph"/>
        <w:ind w:left="0" w:right="-24"/>
        <w:rPr>
          <w:rFonts w:ascii="Arial" w:hAnsi="Arial" w:cs="Arial"/>
          <w:sz w:val="22"/>
          <w:szCs w:val="22"/>
        </w:rPr>
      </w:pPr>
      <w:r w:rsidRPr="00AA2ADE">
        <w:rPr>
          <w:rFonts w:ascii="Arial" w:hAnsi="Arial" w:cs="Arial"/>
          <w:sz w:val="22"/>
          <w:szCs w:val="22"/>
        </w:rPr>
        <w:t>1a)</w:t>
      </w:r>
      <w:r w:rsidRPr="00AA2ADE">
        <w:rPr>
          <w:rFonts w:ascii="Arial" w:hAnsi="Arial" w:cs="Arial"/>
          <w:sz w:val="22"/>
          <w:szCs w:val="22"/>
        </w:rPr>
        <w:tab/>
        <w:t xml:space="preserve">Medicine developers working in the pharmaceutical industry who have a medical or </w:t>
      </w:r>
      <w:r>
        <w:rPr>
          <w:rFonts w:ascii="Arial" w:hAnsi="Arial" w:cs="Arial"/>
          <w:sz w:val="22"/>
          <w:szCs w:val="22"/>
        </w:rPr>
        <w:tab/>
      </w:r>
      <w:r w:rsidRPr="00AA2ADE">
        <w:rPr>
          <w:rFonts w:ascii="Arial" w:hAnsi="Arial" w:cs="Arial"/>
          <w:sz w:val="22"/>
          <w:szCs w:val="22"/>
        </w:rPr>
        <w:t>related background</w:t>
      </w:r>
    </w:p>
    <w:p w14:paraId="6C6C301B" w14:textId="6CA231C0" w:rsidR="00AA2ADE" w:rsidRPr="00AA2ADE" w:rsidRDefault="00AA2ADE" w:rsidP="00AA2ADE">
      <w:pPr>
        <w:pStyle w:val="ListParagraph"/>
        <w:ind w:left="0" w:right="-24"/>
        <w:rPr>
          <w:rFonts w:ascii="Arial" w:hAnsi="Arial" w:cs="Arial"/>
          <w:sz w:val="22"/>
          <w:szCs w:val="22"/>
        </w:rPr>
      </w:pPr>
      <w:r>
        <w:rPr>
          <w:rFonts w:ascii="Arial" w:hAnsi="Arial" w:cs="Arial"/>
          <w:sz w:val="22"/>
          <w:szCs w:val="22"/>
        </w:rPr>
        <w:t>1b)</w:t>
      </w:r>
      <w:r>
        <w:rPr>
          <w:rFonts w:ascii="Arial" w:hAnsi="Arial" w:cs="Arial"/>
          <w:sz w:val="22"/>
          <w:szCs w:val="22"/>
        </w:rPr>
        <w:tab/>
      </w:r>
      <w:r w:rsidRPr="00AA2ADE">
        <w:rPr>
          <w:rFonts w:ascii="Arial" w:hAnsi="Arial" w:cs="Arial"/>
          <w:sz w:val="22"/>
          <w:szCs w:val="22"/>
        </w:rPr>
        <w:t>HCPs (not in industry) who are involv</w:t>
      </w:r>
      <w:r>
        <w:rPr>
          <w:rFonts w:ascii="Arial" w:hAnsi="Arial" w:cs="Arial"/>
          <w:sz w:val="22"/>
          <w:szCs w:val="22"/>
        </w:rPr>
        <w:t>ed in data generation: r</w:t>
      </w:r>
      <w:r w:rsidRPr="00AA2ADE">
        <w:rPr>
          <w:rFonts w:ascii="Arial" w:hAnsi="Arial" w:cs="Arial"/>
          <w:sz w:val="22"/>
          <w:szCs w:val="22"/>
        </w:rPr>
        <w:t xml:space="preserve">egulators would fit into this </w:t>
      </w:r>
      <w:r>
        <w:rPr>
          <w:rFonts w:ascii="Arial" w:hAnsi="Arial" w:cs="Arial"/>
          <w:sz w:val="22"/>
          <w:szCs w:val="22"/>
        </w:rPr>
        <w:tab/>
        <w:t>group as well</w:t>
      </w:r>
    </w:p>
    <w:p w14:paraId="0F3CD66E" w14:textId="4360CE9C" w:rsidR="006B51DB" w:rsidRDefault="00AA2ADE" w:rsidP="00AA2ADE">
      <w:pPr>
        <w:pStyle w:val="ListParagraph"/>
        <w:ind w:left="0" w:right="-24"/>
        <w:rPr>
          <w:rFonts w:ascii="Arial" w:hAnsi="Arial" w:cs="Arial"/>
          <w:sz w:val="22"/>
          <w:szCs w:val="22"/>
        </w:rPr>
      </w:pPr>
      <w:r w:rsidRPr="00AA2ADE">
        <w:rPr>
          <w:rFonts w:ascii="Arial" w:hAnsi="Arial" w:cs="Arial"/>
          <w:sz w:val="22"/>
          <w:szCs w:val="22"/>
        </w:rPr>
        <w:t>2)</w:t>
      </w:r>
      <w:r w:rsidRPr="00AA2ADE">
        <w:rPr>
          <w:rFonts w:ascii="Arial" w:hAnsi="Arial" w:cs="Arial"/>
          <w:sz w:val="22"/>
          <w:szCs w:val="22"/>
        </w:rPr>
        <w:tab/>
        <w:t xml:space="preserve">HCPs who assess data and make decisions about medicines development: regulators </w:t>
      </w:r>
      <w:r>
        <w:rPr>
          <w:rFonts w:ascii="Arial" w:hAnsi="Arial" w:cs="Arial"/>
          <w:sz w:val="22"/>
          <w:szCs w:val="22"/>
        </w:rPr>
        <w:tab/>
      </w:r>
      <w:r w:rsidRPr="00AA2ADE">
        <w:rPr>
          <w:rFonts w:ascii="Arial" w:hAnsi="Arial" w:cs="Arial"/>
          <w:sz w:val="22"/>
          <w:szCs w:val="22"/>
        </w:rPr>
        <w:t xml:space="preserve">(including approval and post-authorisation surveillance responsibilities), HTA experts, </w:t>
      </w:r>
      <w:r>
        <w:rPr>
          <w:rFonts w:ascii="Arial" w:hAnsi="Arial" w:cs="Arial"/>
          <w:sz w:val="22"/>
          <w:szCs w:val="22"/>
        </w:rPr>
        <w:tab/>
        <w:t xml:space="preserve">payers, ethics committees. </w:t>
      </w:r>
    </w:p>
    <w:p w14:paraId="018EBCBE" w14:textId="77777777" w:rsidR="00AA2ADE" w:rsidRDefault="00AA2ADE" w:rsidP="00607F50">
      <w:pPr>
        <w:pStyle w:val="ListParagraph"/>
        <w:ind w:left="0" w:right="-24"/>
        <w:rPr>
          <w:rFonts w:ascii="Arial" w:hAnsi="Arial" w:cs="Arial"/>
          <w:sz w:val="22"/>
          <w:szCs w:val="22"/>
        </w:rPr>
      </w:pPr>
    </w:p>
    <w:p w14:paraId="6F59C376" w14:textId="5ADED8F9" w:rsidR="00EC7F19" w:rsidRDefault="00AA2ADE" w:rsidP="00607F50">
      <w:pPr>
        <w:pStyle w:val="ListParagraph"/>
        <w:ind w:left="0" w:right="-24"/>
        <w:rPr>
          <w:rFonts w:ascii="Arial" w:hAnsi="Arial" w:cs="Arial"/>
          <w:sz w:val="22"/>
          <w:szCs w:val="22"/>
        </w:rPr>
      </w:pPr>
      <w:r>
        <w:rPr>
          <w:rFonts w:ascii="Arial" w:hAnsi="Arial" w:cs="Arial"/>
          <w:sz w:val="22"/>
          <w:szCs w:val="22"/>
        </w:rPr>
        <w:t xml:space="preserve">The WG </w:t>
      </w:r>
      <w:r w:rsidR="00CB1612">
        <w:rPr>
          <w:rFonts w:ascii="Arial" w:hAnsi="Arial" w:cs="Arial"/>
          <w:sz w:val="22"/>
          <w:szCs w:val="22"/>
        </w:rPr>
        <w:t xml:space="preserve">agreed </w:t>
      </w:r>
      <w:r w:rsidR="002E0004">
        <w:rPr>
          <w:rFonts w:ascii="Arial" w:hAnsi="Arial" w:cs="Arial"/>
          <w:sz w:val="22"/>
          <w:szCs w:val="22"/>
        </w:rPr>
        <w:t xml:space="preserve">on the need </w:t>
      </w:r>
      <w:r w:rsidR="00CB1612">
        <w:rPr>
          <w:rFonts w:ascii="Arial" w:hAnsi="Arial" w:cs="Arial"/>
          <w:sz w:val="22"/>
          <w:szCs w:val="22"/>
        </w:rPr>
        <w:t>to fine-tune the definition of</w:t>
      </w:r>
      <w:r w:rsidR="00EC7F19">
        <w:rPr>
          <w:rFonts w:ascii="Arial" w:hAnsi="Arial" w:cs="Arial"/>
          <w:sz w:val="22"/>
          <w:szCs w:val="22"/>
        </w:rPr>
        <w:t xml:space="preserve"> </w:t>
      </w:r>
      <w:r w:rsidR="00CB1612">
        <w:rPr>
          <w:rFonts w:ascii="Arial" w:hAnsi="Arial" w:cs="Arial"/>
          <w:sz w:val="22"/>
          <w:szCs w:val="22"/>
        </w:rPr>
        <w:t>the “healthcare professionals” audience</w:t>
      </w:r>
      <w:r w:rsidR="002E0004">
        <w:rPr>
          <w:rFonts w:ascii="Arial" w:hAnsi="Arial" w:cs="Arial"/>
          <w:sz w:val="22"/>
          <w:szCs w:val="22"/>
        </w:rPr>
        <w:t xml:space="preserve"> and make a </w:t>
      </w:r>
      <w:r w:rsidR="00EC7F19">
        <w:rPr>
          <w:rFonts w:ascii="Arial" w:hAnsi="Arial" w:cs="Arial"/>
          <w:sz w:val="22"/>
          <w:szCs w:val="22"/>
        </w:rPr>
        <w:t>clearer distinction between who t</w:t>
      </w:r>
      <w:r>
        <w:rPr>
          <w:rFonts w:ascii="Arial" w:hAnsi="Arial" w:cs="Arial"/>
          <w:sz w:val="22"/>
          <w:szCs w:val="22"/>
        </w:rPr>
        <w:t xml:space="preserve">hey are vs who they are not. In </w:t>
      </w:r>
      <w:r w:rsidR="00EC7F19">
        <w:rPr>
          <w:rFonts w:ascii="Arial" w:hAnsi="Arial" w:cs="Arial"/>
          <w:sz w:val="22"/>
          <w:szCs w:val="22"/>
        </w:rPr>
        <w:t>particular, their role as data generators requires further discussion, e.g. primary vs secondary data. As an example, Lembit mentioned that increasingly, regulators also generate data. Hence, the need for greater clarity in this regard.</w:t>
      </w:r>
    </w:p>
    <w:p w14:paraId="5D2DF044" w14:textId="3973F0BC" w:rsidR="00CB1612" w:rsidRDefault="00CB1612" w:rsidP="00CB1612">
      <w:pPr>
        <w:pStyle w:val="ListParagraph"/>
        <w:rPr>
          <w:rFonts w:ascii="Arial" w:hAnsi="Arial" w:cs="Arial"/>
          <w:sz w:val="22"/>
          <w:szCs w:val="22"/>
        </w:rPr>
      </w:pPr>
    </w:p>
    <w:p w14:paraId="10B76514" w14:textId="1139BDFD" w:rsidR="00EC7F19" w:rsidRPr="00607F50" w:rsidRDefault="00044C56" w:rsidP="00EC7F19">
      <w:pPr>
        <w:pStyle w:val="ListParagraph"/>
        <w:ind w:hanging="720"/>
        <w:rPr>
          <w:rFonts w:ascii="Arial" w:hAnsi="Arial" w:cs="Arial"/>
          <w:b/>
          <w:color w:val="2E74B5" w:themeColor="accent1" w:themeShade="BF"/>
          <w:sz w:val="22"/>
          <w:szCs w:val="22"/>
        </w:rPr>
      </w:pPr>
      <w:r w:rsidRPr="00607F50">
        <w:rPr>
          <w:rFonts w:ascii="Arial" w:hAnsi="Arial" w:cs="Arial"/>
          <w:b/>
          <w:color w:val="2E74B5" w:themeColor="accent1" w:themeShade="BF"/>
          <w:sz w:val="22"/>
          <w:szCs w:val="22"/>
        </w:rPr>
        <w:t xml:space="preserve">Update on </w:t>
      </w:r>
      <w:r w:rsidR="00EC7F19" w:rsidRPr="00607F50">
        <w:rPr>
          <w:rFonts w:ascii="Arial" w:hAnsi="Arial" w:cs="Arial"/>
          <w:b/>
          <w:color w:val="2E74B5" w:themeColor="accent1" w:themeShade="BF"/>
          <w:sz w:val="22"/>
          <w:szCs w:val="22"/>
        </w:rPr>
        <w:t>Introduction</w:t>
      </w:r>
      <w:r w:rsidRPr="00607F50">
        <w:rPr>
          <w:rFonts w:ascii="Arial" w:hAnsi="Arial" w:cs="Arial"/>
          <w:b/>
          <w:color w:val="2E74B5" w:themeColor="accent1" w:themeShade="BF"/>
          <w:sz w:val="22"/>
          <w:szCs w:val="22"/>
        </w:rPr>
        <w:t xml:space="preserve"> and Chapter 1</w:t>
      </w:r>
    </w:p>
    <w:p w14:paraId="39B32B72" w14:textId="77777777" w:rsidR="00A7287D" w:rsidRDefault="00A7287D" w:rsidP="00EC7F19">
      <w:pPr>
        <w:pStyle w:val="ListParagraph"/>
        <w:ind w:hanging="720"/>
        <w:rPr>
          <w:rFonts w:ascii="Arial" w:hAnsi="Arial" w:cs="Arial"/>
          <w:sz w:val="22"/>
          <w:szCs w:val="22"/>
        </w:rPr>
      </w:pPr>
    </w:p>
    <w:p w14:paraId="55CD0101" w14:textId="13AB9D03" w:rsidR="00297CC3" w:rsidRDefault="00EC7F19" w:rsidP="00EC7F19">
      <w:pPr>
        <w:pStyle w:val="ListParagraph"/>
        <w:ind w:hanging="720"/>
        <w:rPr>
          <w:rFonts w:ascii="Arial" w:hAnsi="Arial" w:cs="Arial"/>
          <w:sz w:val="22"/>
          <w:szCs w:val="22"/>
        </w:rPr>
      </w:pPr>
      <w:proofErr w:type="spellStart"/>
      <w:r>
        <w:rPr>
          <w:rFonts w:ascii="Arial" w:hAnsi="Arial" w:cs="Arial"/>
          <w:sz w:val="22"/>
          <w:szCs w:val="22"/>
        </w:rPr>
        <w:t>Enrica</w:t>
      </w:r>
      <w:proofErr w:type="spellEnd"/>
      <w:r>
        <w:rPr>
          <w:rFonts w:ascii="Arial" w:hAnsi="Arial" w:cs="Arial"/>
          <w:sz w:val="22"/>
          <w:szCs w:val="22"/>
        </w:rPr>
        <w:t xml:space="preserve"> presented these </w:t>
      </w:r>
      <w:hyperlink r:id="rId8" w:history="1">
        <w:r w:rsidRPr="00044C56">
          <w:rPr>
            <w:rStyle w:val="Hyperlink"/>
            <w:rFonts w:ascii="Arial" w:hAnsi="Arial" w:cs="Arial"/>
            <w:sz w:val="22"/>
            <w:szCs w:val="22"/>
          </w:rPr>
          <w:t>slides</w:t>
        </w:r>
      </w:hyperlink>
    </w:p>
    <w:p w14:paraId="1DB9D3B2" w14:textId="77777777" w:rsidR="00297CC3" w:rsidRDefault="00297CC3" w:rsidP="00EC7F19">
      <w:pPr>
        <w:pStyle w:val="ListParagraph"/>
        <w:ind w:hanging="720"/>
        <w:rPr>
          <w:rFonts w:ascii="Arial" w:hAnsi="Arial" w:cs="Arial"/>
          <w:sz w:val="22"/>
          <w:szCs w:val="22"/>
        </w:rPr>
      </w:pPr>
    </w:p>
    <w:p w14:paraId="29CB7DD9" w14:textId="77777777" w:rsidR="00AA2ADE" w:rsidRDefault="00114585" w:rsidP="007D57A7">
      <w:pPr>
        <w:pStyle w:val="ListParagraph"/>
        <w:ind w:right="-23" w:hanging="720"/>
        <w:contextualSpacing w:val="0"/>
        <w:rPr>
          <w:rFonts w:ascii="Arial" w:hAnsi="Arial" w:cs="Arial"/>
          <w:sz w:val="22"/>
          <w:szCs w:val="22"/>
        </w:rPr>
      </w:pPr>
      <w:r>
        <w:rPr>
          <w:rFonts w:ascii="Arial" w:hAnsi="Arial" w:cs="Arial"/>
          <w:sz w:val="22"/>
          <w:szCs w:val="22"/>
        </w:rPr>
        <w:t>Does t</w:t>
      </w:r>
      <w:r w:rsidR="00F9425C">
        <w:rPr>
          <w:rFonts w:ascii="Arial" w:hAnsi="Arial" w:cs="Arial"/>
          <w:sz w:val="22"/>
          <w:szCs w:val="22"/>
        </w:rPr>
        <w:t xml:space="preserve">he last </w:t>
      </w:r>
      <w:r>
        <w:rPr>
          <w:rFonts w:ascii="Arial" w:hAnsi="Arial" w:cs="Arial"/>
          <w:sz w:val="22"/>
          <w:szCs w:val="22"/>
        </w:rPr>
        <w:t>paragraph of</w:t>
      </w:r>
      <w:r w:rsidR="00297CC3">
        <w:rPr>
          <w:rFonts w:ascii="Arial" w:hAnsi="Arial" w:cs="Arial"/>
          <w:sz w:val="22"/>
          <w:szCs w:val="22"/>
        </w:rPr>
        <w:t xml:space="preserve"> the Introduction</w:t>
      </w:r>
      <w:r>
        <w:rPr>
          <w:rFonts w:ascii="Arial" w:hAnsi="Arial" w:cs="Arial"/>
          <w:sz w:val="22"/>
          <w:szCs w:val="22"/>
        </w:rPr>
        <w:t xml:space="preserve"> (see below) </w:t>
      </w:r>
      <w:r w:rsidR="00AA2ADE">
        <w:rPr>
          <w:rFonts w:ascii="Arial" w:hAnsi="Arial" w:cs="Arial"/>
          <w:sz w:val="22"/>
          <w:szCs w:val="22"/>
        </w:rPr>
        <w:t>belong in</w:t>
      </w:r>
      <w:r w:rsidR="00F9425C">
        <w:rPr>
          <w:rFonts w:ascii="Arial" w:hAnsi="Arial" w:cs="Arial"/>
          <w:sz w:val="22"/>
          <w:szCs w:val="22"/>
        </w:rPr>
        <w:t xml:space="preserve"> the Introduction</w:t>
      </w:r>
      <w:r w:rsidR="00AA2ADE">
        <w:rPr>
          <w:rFonts w:ascii="Arial" w:hAnsi="Arial" w:cs="Arial"/>
          <w:sz w:val="22"/>
          <w:szCs w:val="22"/>
        </w:rPr>
        <w:t xml:space="preserve"> or should it be</w:t>
      </w:r>
    </w:p>
    <w:p w14:paraId="4745A20B" w14:textId="03B4A560" w:rsidR="00297CC3" w:rsidRPr="009C4A4F" w:rsidRDefault="00F9425C" w:rsidP="009C4A4F">
      <w:pPr>
        <w:pStyle w:val="ListParagraph"/>
        <w:ind w:left="0" w:right="-23"/>
        <w:contextualSpacing w:val="0"/>
        <w:rPr>
          <w:rFonts w:ascii="Arial" w:hAnsi="Arial" w:cs="Arial"/>
          <w:sz w:val="22"/>
          <w:szCs w:val="22"/>
        </w:rPr>
      </w:pPr>
      <w:proofErr w:type="gramStart"/>
      <w:r w:rsidRPr="00F9425C">
        <w:rPr>
          <w:rFonts w:ascii="Arial" w:hAnsi="Arial" w:cs="Arial"/>
          <w:sz w:val="22"/>
          <w:szCs w:val="22"/>
        </w:rPr>
        <w:t>moved</w:t>
      </w:r>
      <w:proofErr w:type="gramEnd"/>
      <w:r w:rsidRPr="00F9425C">
        <w:rPr>
          <w:rFonts w:ascii="Arial" w:hAnsi="Arial" w:cs="Arial"/>
          <w:sz w:val="22"/>
          <w:szCs w:val="22"/>
        </w:rPr>
        <w:t xml:space="preserve"> to a</w:t>
      </w:r>
      <w:r w:rsidR="00607F50">
        <w:rPr>
          <w:rFonts w:ascii="Arial" w:hAnsi="Arial" w:cs="Arial"/>
          <w:sz w:val="22"/>
          <w:szCs w:val="22"/>
        </w:rPr>
        <w:t xml:space="preserve"> different chapter</w:t>
      </w:r>
      <w:r w:rsidR="00114585">
        <w:rPr>
          <w:rFonts w:ascii="Arial" w:hAnsi="Arial" w:cs="Arial"/>
          <w:sz w:val="22"/>
          <w:szCs w:val="22"/>
        </w:rPr>
        <w:t>?</w:t>
      </w:r>
      <w:r w:rsidRPr="00F9425C">
        <w:rPr>
          <w:rFonts w:ascii="Arial" w:hAnsi="Arial" w:cs="Arial"/>
          <w:sz w:val="22"/>
          <w:szCs w:val="22"/>
        </w:rPr>
        <w:t xml:space="preserve"> Also, </w:t>
      </w:r>
      <w:r w:rsidR="007D57A7">
        <w:rPr>
          <w:rFonts w:ascii="Arial" w:hAnsi="Arial" w:cs="Arial"/>
          <w:sz w:val="22"/>
          <w:szCs w:val="22"/>
        </w:rPr>
        <w:t xml:space="preserve">is the </w:t>
      </w:r>
      <w:r w:rsidR="00607F50">
        <w:rPr>
          <w:rFonts w:ascii="Arial" w:hAnsi="Arial" w:cs="Arial"/>
          <w:sz w:val="22"/>
          <w:szCs w:val="22"/>
        </w:rPr>
        <w:t>statement</w:t>
      </w:r>
      <w:r w:rsidR="00AA2ADE">
        <w:rPr>
          <w:rFonts w:ascii="Arial" w:hAnsi="Arial" w:cs="Arial"/>
          <w:sz w:val="22"/>
          <w:szCs w:val="22"/>
        </w:rPr>
        <w:t xml:space="preserve"> </w:t>
      </w:r>
      <w:r w:rsidR="00607F50">
        <w:rPr>
          <w:rFonts w:ascii="Arial" w:hAnsi="Arial" w:cs="Arial"/>
          <w:sz w:val="22"/>
          <w:szCs w:val="22"/>
        </w:rPr>
        <w:t xml:space="preserve">that the CIOMS </w:t>
      </w:r>
      <w:r w:rsidR="00114585">
        <w:rPr>
          <w:rFonts w:ascii="Arial" w:hAnsi="Arial" w:cs="Arial"/>
          <w:sz w:val="22"/>
          <w:szCs w:val="22"/>
        </w:rPr>
        <w:t>guidance “</w:t>
      </w:r>
      <w:r w:rsidRPr="00F9425C">
        <w:rPr>
          <w:rFonts w:ascii="Arial" w:hAnsi="Arial" w:cs="Arial"/>
          <w:sz w:val="22"/>
          <w:szCs w:val="22"/>
        </w:rPr>
        <w:t>provide</w:t>
      </w:r>
      <w:r w:rsidR="00114585">
        <w:rPr>
          <w:rFonts w:ascii="Arial" w:hAnsi="Arial" w:cs="Arial"/>
          <w:sz w:val="22"/>
          <w:szCs w:val="22"/>
        </w:rPr>
        <w:t>s</w:t>
      </w:r>
      <w:r w:rsidRPr="00F9425C">
        <w:rPr>
          <w:rFonts w:ascii="Arial" w:hAnsi="Arial" w:cs="Arial"/>
          <w:sz w:val="22"/>
          <w:szCs w:val="22"/>
        </w:rPr>
        <w:t xml:space="preserve"> a model s</w:t>
      </w:r>
      <w:r w:rsidR="00114585">
        <w:rPr>
          <w:rFonts w:ascii="Arial" w:hAnsi="Arial" w:cs="Arial"/>
          <w:sz w:val="22"/>
          <w:szCs w:val="22"/>
        </w:rPr>
        <w:t>yllabus”</w:t>
      </w:r>
      <w:r w:rsidR="00607F50">
        <w:rPr>
          <w:rFonts w:ascii="Arial" w:hAnsi="Arial" w:cs="Arial"/>
          <w:sz w:val="22"/>
          <w:szCs w:val="22"/>
        </w:rPr>
        <w:t xml:space="preserve"> (see yellow highlight</w:t>
      </w:r>
      <w:r w:rsidR="007D57A7">
        <w:rPr>
          <w:rFonts w:ascii="Arial" w:hAnsi="Arial" w:cs="Arial"/>
          <w:sz w:val="22"/>
          <w:szCs w:val="22"/>
        </w:rPr>
        <w:t xml:space="preserve">) consistent with the intent of the WG? </w:t>
      </w:r>
      <w:r w:rsidR="009C4A4F">
        <w:rPr>
          <w:rFonts w:ascii="Arial" w:hAnsi="Arial" w:cs="Arial"/>
          <w:sz w:val="22"/>
          <w:szCs w:val="22"/>
        </w:rPr>
        <w:br w:type="page"/>
      </w:r>
    </w:p>
    <w:p w14:paraId="1D46A593" w14:textId="5827D6DF" w:rsidR="00297CC3" w:rsidRPr="00114585" w:rsidRDefault="00297CC3" w:rsidP="00AA2ADE">
      <w:pPr>
        <w:pStyle w:val="ListParagraph"/>
        <w:spacing w:after="120" w:line="259" w:lineRule="auto"/>
        <w:ind w:hanging="720"/>
        <w:contextualSpacing w:val="0"/>
        <w:rPr>
          <w:rFonts w:ascii="Arial" w:hAnsi="Arial" w:cs="Arial"/>
          <w:i/>
          <w:sz w:val="22"/>
          <w:szCs w:val="22"/>
        </w:rPr>
      </w:pPr>
      <w:r w:rsidRPr="00114585">
        <w:rPr>
          <w:rFonts w:ascii="Arial" w:hAnsi="Arial" w:cs="Arial"/>
          <w:i/>
          <w:sz w:val="22"/>
          <w:szCs w:val="22"/>
        </w:rPr>
        <w:lastRenderedPageBreak/>
        <w:t>“This report describes the development, life cycle and regulatory environment of medicinal</w:t>
      </w:r>
    </w:p>
    <w:p w14:paraId="50F823D8" w14:textId="77777777" w:rsidR="00297CC3" w:rsidRPr="00114585" w:rsidRDefault="00297CC3" w:rsidP="00AA2ADE">
      <w:pPr>
        <w:pStyle w:val="ListParagraph"/>
        <w:spacing w:after="120" w:line="259" w:lineRule="auto"/>
        <w:ind w:hanging="720"/>
        <w:contextualSpacing w:val="0"/>
        <w:rPr>
          <w:rFonts w:ascii="Arial" w:hAnsi="Arial" w:cs="Arial"/>
          <w:i/>
          <w:sz w:val="22"/>
          <w:szCs w:val="22"/>
        </w:rPr>
      </w:pPr>
      <w:proofErr w:type="gramStart"/>
      <w:r w:rsidRPr="00114585">
        <w:rPr>
          <w:rFonts w:ascii="Arial" w:hAnsi="Arial" w:cs="Arial"/>
          <w:i/>
          <w:sz w:val="22"/>
          <w:szCs w:val="22"/>
        </w:rPr>
        <w:t>products</w:t>
      </w:r>
      <w:proofErr w:type="gramEnd"/>
      <w:r w:rsidRPr="00114585">
        <w:rPr>
          <w:rFonts w:ascii="Arial" w:hAnsi="Arial" w:cs="Arial"/>
          <w:i/>
          <w:sz w:val="22"/>
          <w:szCs w:val="22"/>
        </w:rPr>
        <w:t xml:space="preserve"> as well as current trends and the challenges faced by medicines developers today. It</w:t>
      </w:r>
    </w:p>
    <w:p w14:paraId="063C8F19" w14:textId="77777777" w:rsidR="00297CC3" w:rsidRPr="00114585" w:rsidRDefault="00297CC3" w:rsidP="00AA2ADE">
      <w:pPr>
        <w:pStyle w:val="ListParagraph"/>
        <w:spacing w:after="120" w:line="259" w:lineRule="auto"/>
        <w:ind w:hanging="720"/>
        <w:contextualSpacing w:val="0"/>
        <w:rPr>
          <w:rFonts w:ascii="Arial" w:hAnsi="Arial" w:cs="Arial"/>
          <w:i/>
          <w:sz w:val="22"/>
          <w:szCs w:val="22"/>
        </w:rPr>
      </w:pPr>
      <w:proofErr w:type="gramStart"/>
      <w:r w:rsidRPr="00114585">
        <w:rPr>
          <w:rFonts w:ascii="Arial" w:hAnsi="Arial" w:cs="Arial"/>
          <w:i/>
          <w:sz w:val="22"/>
          <w:szCs w:val="22"/>
        </w:rPr>
        <w:t>contains</w:t>
      </w:r>
      <w:proofErr w:type="gramEnd"/>
      <w:r w:rsidRPr="00114585">
        <w:rPr>
          <w:rFonts w:ascii="Arial" w:hAnsi="Arial" w:cs="Arial"/>
          <w:i/>
          <w:sz w:val="22"/>
          <w:szCs w:val="22"/>
        </w:rPr>
        <w:t xml:space="preserve"> an overview of the competencies required to work in medicines development in an</w:t>
      </w:r>
    </w:p>
    <w:p w14:paraId="0121156D" w14:textId="77777777" w:rsidR="00297CC3" w:rsidRPr="00114585" w:rsidRDefault="00297CC3" w:rsidP="00AA2ADE">
      <w:pPr>
        <w:pStyle w:val="ListParagraph"/>
        <w:spacing w:after="120" w:line="259" w:lineRule="auto"/>
        <w:ind w:hanging="720"/>
        <w:contextualSpacing w:val="0"/>
        <w:rPr>
          <w:rFonts w:ascii="Arial" w:hAnsi="Arial" w:cs="Arial"/>
          <w:i/>
          <w:sz w:val="22"/>
          <w:szCs w:val="22"/>
        </w:rPr>
      </w:pPr>
      <w:proofErr w:type="gramStart"/>
      <w:r w:rsidRPr="00114585">
        <w:rPr>
          <w:rFonts w:ascii="Arial" w:hAnsi="Arial" w:cs="Arial"/>
          <w:i/>
          <w:sz w:val="22"/>
          <w:szCs w:val="22"/>
        </w:rPr>
        <w:t>effective</w:t>
      </w:r>
      <w:proofErr w:type="gramEnd"/>
      <w:r w:rsidRPr="00114585">
        <w:rPr>
          <w:rFonts w:ascii="Arial" w:hAnsi="Arial" w:cs="Arial"/>
          <w:i/>
          <w:sz w:val="22"/>
          <w:szCs w:val="22"/>
        </w:rPr>
        <w:t xml:space="preserve"> and ethical manner. Importantly, it </w:t>
      </w:r>
      <w:r w:rsidRPr="00114585">
        <w:rPr>
          <w:rFonts w:ascii="Arial" w:hAnsi="Arial" w:cs="Arial"/>
          <w:i/>
          <w:sz w:val="22"/>
          <w:szCs w:val="22"/>
          <w:highlight w:val="yellow"/>
        </w:rPr>
        <w:t>provides a model syllabus</w:t>
      </w:r>
      <w:r w:rsidRPr="00114585">
        <w:rPr>
          <w:rFonts w:ascii="Arial" w:hAnsi="Arial" w:cs="Arial"/>
          <w:i/>
          <w:sz w:val="22"/>
          <w:szCs w:val="22"/>
        </w:rPr>
        <w:t xml:space="preserve"> that can be tailored to</w:t>
      </w:r>
    </w:p>
    <w:p w14:paraId="5FF25C02" w14:textId="77777777" w:rsidR="00297CC3" w:rsidRPr="00114585" w:rsidRDefault="00297CC3" w:rsidP="00AA2ADE">
      <w:pPr>
        <w:pStyle w:val="ListParagraph"/>
        <w:spacing w:after="120" w:line="259" w:lineRule="auto"/>
        <w:ind w:hanging="720"/>
        <w:contextualSpacing w:val="0"/>
        <w:rPr>
          <w:rFonts w:ascii="Arial" w:hAnsi="Arial" w:cs="Arial"/>
          <w:i/>
          <w:sz w:val="22"/>
          <w:szCs w:val="22"/>
        </w:rPr>
      </w:pPr>
      <w:proofErr w:type="gramStart"/>
      <w:r w:rsidRPr="00114585">
        <w:rPr>
          <w:rFonts w:ascii="Arial" w:hAnsi="Arial" w:cs="Arial"/>
          <w:i/>
          <w:sz w:val="22"/>
          <w:szCs w:val="22"/>
        </w:rPr>
        <w:t>suitable</w:t>
      </w:r>
      <w:proofErr w:type="gramEnd"/>
      <w:r w:rsidRPr="00114585">
        <w:rPr>
          <w:rFonts w:ascii="Arial" w:hAnsi="Arial" w:cs="Arial"/>
          <w:i/>
          <w:sz w:val="22"/>
          <w:szCs w:val="22"/>
        </w:rPr>
        <w:t xml:space="preserve"> levels for the main groups of participants in medicines development (for example:</w:t>
      </w:r>
    </w:p>
    <w:p w14:paraId="0BA1EF96" w14:textId="77777777" w:rsidR="00297CC3" w:rsidRPr="00114585" w:rsidRDefault="00297CC3" w:rsidP="00AA2ADE">
      <w:pPr>
        <w:pStyle w:val="ListParagraph"/>
        <w:spacing w:after="120" w:line="259" w:lineRule="auto"/>
        <w:ind w:hanging="720"/>
        <w:contextualSpacing w:val="0"/>
        <w:rPr>
          <w:rFonts w:ascii="Arial" w:hAnsi="Arial" w:cs="Arial"/>
          <w:i/>
          <w:sz w:val="22"/>
          <w:szCs w:val="22"/>
        </w:rPr>
      </w:pPr>
      <w:r w:rsidRPr="00114585">
        <w:rPr>
          <w:rFonts w:ascii="Arial" w:hAnsi="Arial" w:cs="Arial"/>
          <w:i/>
          <w:sz w:val="22"/>
          <w:szCs w:val="22"/>
        </w:rPr>
        <w:t>Basic, Skilled, and Advanced), as well as updated as needed. In addition, it could be used to</w:t>
      </w:r>
    </w:p>
    <w:p w14:paraId="4CEACE45" w14:textId="77777777" w:rsidR="00297CC3" w:rsidRPr="00114585" w:rsidRDefault="00297CC3" w:rsidP="00AA2ADE">
      <w:pPr>
        <w:pStyle w:val="ListParagraph"/>
        <w:spacing w:after="120" w:line="259" w:lineRule="auto"/>
        <w:ind w:hanging="720"/>
        <w:contextualSpacing w:val="0"/>
        <w:rPr>
          <w:rFonts w:ascii="Arial" w:hAnsi="Arial" w:cs="Arial"/>
          <w:i/>
          <w:sz w:val="22"/>
          <w:szCs w:val="22"/>
        </w:rPr>
      </w:pPr>
      <w:proofErr w:type="gramStart"/>
      <w:r w:rsidRPr="00114585">
        <w:rPr>
          <w:rFonts w:ascii="Arial" w:hAnsi="Arial" w:cs="Arial"/>
          <w:i/>
          <w:sz w:val="22"/>
          <w:szCs w:val="22"/>
        </w:rPr>
        <w:t>implement</w:t>
      </w:r>
      <w:proofErr w:type="gramEnd"/>
      <w:r w:rsidRPr="00114585">
        <w:rPr>
          <w:rFonts w:ascii="Arial" w:hAnsi="Arial" w:cs="Arial"/>
          <w:i/>
          <w:sz w:val="22"/>
          <w:szCs w:val="22"/>
        </w:rPr>
        <w:t xml:space="preserve"> educational programmes for health professionals at all stages of medicines</w:t>
      </w:r>
    </w:p>
    <w:p w14:paraId="7058725E" w14:textId="77777777" w:rsidR="00297CC3" w:rsidRPr="00114585" w:rsidRDefault="00297CC3" w:rsidP="00AA2ADE">
      <w:pPr>
        <w:pStyle w:val="ListParagraph"/>
        <w:spacing w:after="120" w:line="259" w:lineRule="auto"/>
        <w:ind w:hanging="720"/>
        <w:contextualSpacing w:val="0"/>
        <w:rPr>
          <w:rFonts w:ascii="Arial" w:hAnsi="Arial" w:cs="Arial"/>
          <w:i/>
          <w:sz w:val="22"/>
          <w:szCs w:val="22"/>
        </w:rPr>
      </w:pPr>
      <w:proofErr w:type="gramStart"/>
      <w:r w:rsidRPr="00114585">
        <w:rPr>
          <w:rFonts w:ascii="Arial" w:hAnsi="Arial" w:cs="Arial"/>
          <w:i/>
          <w:sz w:val="22"/>
          <w:szCs w:val="22"/>
        </w:rPr>
        <w:t>development/regulation</w:t>
      </w:r>
      <w:proofErr w:type="gramEnd"/>
      <w:r w:rsidRPr="00114585">
        <w:rPr>
          <w:rFonts w:ascii="Arial" w:hAnsi="Arial" w:cs="Arial"/>
          <w:i/>
          <w:sz w:val="22"/>
          <w:szCs w:val="22"/>
        </w:rPr>
        <w:t>. Shorter educational programmes could be developed for health</w:t>
      </w:r>
    </w:p>
    <w:p w14:paraId="65BC3331" w14:textId="77777777" w:rsidR="00297CC3" w:rsidRPr="00114585" w:rsidRDefault="00297CC3" w:rsidP="00AA2ADE">
      <w:pPr>
        <w:pStyle w:val="ListParagraph"/>
        <w:spacing w:after="120" w:line="259" w:lineRule="auto"/>
        <w:ind w:hanging="720"/>
        <w:contextualSpacing w:val="0"/>
        <w:rPr>
          <w:rFonts w:ascii="Arial" w:hAnsi="Arial" w:cs="Arial"/>
          <w:i/>
          <w:sz w:val="22"/>
          <w:szCs w:val="22"/>
        </w:rPr>
      </w:pPr>
      <w:proofErr w:type="gramStart"/>
      <w:r w:rsidRPr="00114585">
        <w:rPr>
          <w:rFonts w:ascii="Arial" w:hAnsi="Arial" w:cs="Arial"/>
          <w:i/>
          <w:sz w:val="22"/>
          <w:szCs w:val="22"/>
        </w:rPr>
        <w:t>professionals</w:t>
      </w:r>
      <w:proofErr w:type="gramEnd"/>
      <w:r w:rsidRPr="00114585">
        <w:rPr>
          <w:rFonts w:ascii="Arial" w:hAnsi="Arial" w:cs="Arial"/>
          <w:i/>
          <w:sz w:val="22"/>
          <w:szCs w:val="22"/>
        </w:rPr>
        <w:t xml:space="preserve"> who treat patients, but are not directly involved in medicinal product development.</w:t>
      </w:r>
    </w:p>
    <w:p w14:paraId="0DB9C659" w14:textId="77777777" w:rsidR="00297CC3" w:rsidRPr="00114585" w:rsidRDefault="00297CC3" w:rsidP="00AA2ADE">
      <w:pPr>
        <w:pStyle w:val="ListParagraph"/>
        <w:spacing w:after="120" w:line="259" w:lineRule="auto"/>
        <w:ind w:hanging="720"/>
        <w:contextualSpacing w:val="0"/>
        <w:rPr>
          <w:rFonts w:ascii="Arial" w:hAnsi="Arial" w:cs="Arial"/>
          <w:i/>
          <w:sz w:val="22"/>
          <w:szCs w:val="22"/>
        </w:rPr>
      </w:pPr>
      <w:r w:rsidRPr="00114585">
        <w:rPr>
          <w:rFonts w:ascii="Arial" w:hAnsi="Arial" w:cs="Arial"/>
          <w:i/>
          <w:sz w:val="22"/>
          <w:szCs w:val="22"/>
        </w:rPr>
        <w:t>Finally, additional knowledge of medicines development and regulation will also be valuable for</w:t>
      </w:r>
    </w:p>
    <w:p w14:paraId="058A105D" w14:textId="77777777" w:rsidR="00297CC3" w:rsidRPr="00114585" w:rsidRDefault="00297CC3" w:rsidP="00AA2ADE">
      <w:pPr>
        <w:pStyle w:val="ListParagraph"/>
        <w:spacing w:after="120" w:line="259" w:lineRule="auto"/>
        <w:ind w:hanging="720"/>
        <w:contextualSpacing w:val="0"/>
        <w:rPr>
          <w:rFonts w:ascii="Arial" w:hAnsi="Arial" w:cs="Arial"/>
          <w:i/>
          <w:sz w:val="22"/>
          <w:szCs w:val="22"/>
        </w:rPr>
      </w:pPr>
      <w:proofErr w:type="gramStart"/>
      <w:r w:rsidRPr="00114585">
        <w:rPr>
          <w:rFonts w:ascii="Arial" w:hAnsi="Arial" w:cs="Arial"/>
          <w:i/>
          <w:sz w:val="22"/>
          <w:szCs w:val="22"/>
        </w:rPr>
        <w:t>policy</w:t>
      </w:r>
      <w:proofErr w:type="gramEnd"/>
      <w:r w:rsidRPr="00114585">
        <w:rPr>
          <w:rFonts w:ascii="Arial" w:hAnsi="Arial" w:cs="Arial"/>
          <w:i/>
          <w:sz w:val="22"/>
          <w:szCs w:val="22"/>
        </w:rPr>
        <w:t xml:space="preserve"> makers, science writers, and others in their efforts to inform patients, advocacy groups,</w:t>
      </w:r>
    </w:p>
    <w:p w14:paraId="25A59DF9" w14:textId="7E514E8C" w:rsidR="00297CC3" w:rsidRPr="00114585" w:rsidRDefault="00297CC3" w:rsidP="00AA2ADE">
      <w:pPr>
        <w:pStyle w:val="ListParagraph"/>
        <w:spacing w:after="120" w:line="259" w:lineRule="auto"/>
        <w:ind w:hanging="720"/>
        <w:contextualSpacing w:val="0"/>
        <w:rPr>
          <w:rFonts w:ascii="Arial" w:hAnsi="Arial" w:cs="Arial"/>
          <w:i/>
          <w:sz w:val="22"/>
          <w:szCs w:val="22"/>
        </w:rPr>
      </w:pPr>
      <w:proofErr w:type="gramStart"/>
      <w:r w:rsidRPr="00114585">
        <w:rPr>
          <w:rFonts w:ascii="Arial" w:hAnsi="Arial" w:cs="Arial"/>
          <w:i/>
          <w:sz w:val="22"/>
          <w:szCs w:val="22"/>
        </w:rPr>
        <w:t>and</w:t>
      </w:r>
      <w:proofErr w:type="gramEnd"/>
      <w:r w:rsidRPr="00114585">
        <w:rPr>
          <w:rFonts w:ascii="Arial" w:hAnsi="Arial" w:cs="Arial"/>
          <w:i/>
          <w:sz w:val="22"/>
          <w:szCs w:val="22"/>
        </w:rPr>
        <w:t xml:space="preserve"> society at large.”</w:t>
      </w:r>
    </w:p>
    <w:p w14:paraId="4909131C" w14:textId="38C7F9A4" w:rsidR="002E0004" w:rsidRDefault="002E0004" w:rsidP="00EC7F19">
      <w:pPr>
        <w:pStyle w:val="ListParagraph"/>
        <w:ind w:hanging="720"/>
        <w:rPr>
          <w:rFonts w:ascii="Arial" w:hAnsi="Arial" w:cs="Arial"/>
          <w:sz w:val="22"/>
          <w:szCs w:val="22"/>
        </w:rPr>
      </w:pPr>
    </w:p>
    <w:p w14:paraId="6AC0E63C" w14:textId="59391E9F" w:rsidR="00A7287D" w:rsidRDefault="00967299" w:rsidP="00EC7F19">
      <w:pPr>
        <w:pStyle w:val="ListParagraph"/>
        <w:ind w:hanging="720"/>
        <w:rPr>
          <w:rFonts w:ascii="Arial" w:hAnsi="Arial" w:cs="Arial"/>
          <w:sz w:val="22"/>
          <w:szCs w:val="22"/>
        </w:rPr>
      </w:pPr>
      <w:r>
        <w:rPr>
          <w:rFonts w:ascii="Arial" w:hAnsi="Arial" w:cs="Arial"/>
          <w:sz w:val="22"/>
          <w:szCs w:val="22"/>
        </w:rPr>
        <w:t>(</w:t>
      </w:r>
      <w:r w:rsidR="00A7287D">
        <w:rPr>
          <w:rFonts w:ascii="Arial" w:hAnsi="Arial" w:cs="Arial"/>
          <w:sz w:val="22"/>
          <w:szCs w:val="22"/>
        </w:rPr>
        <w:t>Please see the slides for further changes</w:t>
      </w:r>
      <w:r>
        <w:rPr>
          <w:rFonts w:ascii="Arial" w:hAnsi="Arial" w:cs="Arial"/>
          <w:sz w:val="22"/>
          <w:szCs w:val="22"/>
        </w:rPr>
        <w:t>)</w:t>
      </w:r>
    </w:p>
    <w:p w14:paraId="6893D4AC" w14:textId="76C31A63" w:rsidR="00A7287D" w:rsidRDefault="00A7287D" w:rsidP="00EC7F19">
      <w:pPr>
        <w:pStyle w:val="ListParagraph"/>
        <w:ind w:hanging="720"/>
        <w:rPr>
          <w:rFonts w:ascii="Arial" w:hAnsi="Arial" w:cs="Arial"/>
          <w:sz w:val="22"/>
          <w:szCs w:val="22"/>
        </w:rPr>
      </w:pPr>
    </w:p>
    <w:p w14:paraId="5C6C1350" w14:textId="12E741D3" w:rsidR="00967299" w:rsidRPr="00967299" w:rsidRDefault="00967299" w:rsidP="005A1F0B">
      <w:pPr>
        <w:pStyle w:val="ListParagraph"/>
        <w:spacing w:after="160" w:line="259" w:lineRule="auto"/>
        <w:ind w:hanging="720"/>
        <w:contextualSpacing w:val="0"/>
        <w:rPr>
          <w:rFonts w:ascii="Arial" w:hAnsi="Arial" w:cs="Arial"/>
          <w:b/>
          <w:sz w:val="22"/>
          <w:szCs w:val="22"/>
        </w:rPr>
      </w:pPr>
      <w:r>
        <w:rPr>
          <w:rFonts w:ascii="Arial" w:hAnsi="Arial" w:cs="Arial"/>
          <w:b/>
          <w:sz w:val="22"/>
          <w:szCs w:val="22"/>
        </w:rPr>
        <w:t xml:space="preserve">Other discussion </w:t>
      </w:r>
      <w:r w:rsidRPr="00967299">
        <w:rPr>
          <w:rFonts w:ascii="Arial" w:hAnsi="Arial" w:cs="Arial"/>
          <w:b/>
          <w:sz w:val="22"/>
          <w:szCs w:val="22"/>
        </w:rPr>
        <w:t>highlights:</w:t>
      </w:r>
    </w:p>
    <w:p w14:paraId="35D834E9" w14:textId="6B4FEB6A" w:rsidR="00A7287D" w:rsidRPr="00967299" w:rsidRDefault="00A7287D" w:rsidP="006D6532">
      <w:pPr>
        <w:pStyle w:val="ListParagraph"/>
        <w:numPr>
          <w:ilvl w:val="0"/>
          <w:numId w:val="25"/>
        </w:numPr>
        <w:ind w:left="284" w:hanging="284"/>
        <w:rPr>
          <w:rFonts w:ascii="Arial" w:hAnsi="Arial" w:cs="Arial"/>
          <w:sz w:val="22"/>
          <w:szCs w:val="22"/>
        </w:rPr>
      </w:pPr>
      <w:r>
        <w:rPr>
          <w:rFonts w:ascii="Arial" w:hAnsi="Arial" w:cs="Arial"/>
          <w:sz w:val="22"/>
          <w:szCs w:val="22"/>
        </w:rPr>
        <w:t xml:space="preserve">Malcolm thanked </w:t>
      </w:r>
      <w:proofErr w:type="spellStart"/>
      <w:r>
        <w:rPr>
          <w:rFonts w:ascii="Arial" w:hAnsi="Arial" w:cs="Arial"/>
          <w:sz w:val="22"/>
          <w:szCs w:val="22"/>
        </w:rPr>
        <w:t>Enrica</w:t>
      </w:r>
      <w:proofErr w:type="spellEnd"/>
      <w:r>
        <w:rPr>
          <w:rFonts w:ascii="Arial" w:hAnsi="Arial" w:cs="Arial"/>
          <w:sz w:val="22"/>
          <w:szCs w:val="22"/>
        </w:rPr>
        <w:t xml:space="preserve"> for her presentation and suggested that he wait for a final version of</w:t>
      </w:r>
      <w:r w:rsidR="00967299">
        <w:rPr>
          <w:rFonts w:ascii="Arial" w:hAnsi="Arial" w:cs="Arial"/>
          <w:sz w:val="22"/>
          <w:szCs w:val="22"/>
        </w:rPr>
        <w:t xml:space="preserve"> </w:t>
      </w:r>
      <w:r w:rsidRPr="00967299">
        <w:rPr>
          <w:rFonts w:ascii="Arial" w:hAnsi="Arial" w:cs="Arial"/>
          <w:sz w:val="22"/>
          <w:szCs w:val="22"/>
        </w:rPr>
        <w:t>the Introduction/Chapter 1 before completing Chapter 2.</w:t>
      </w:r>
    </w:p>
    <w:p w14:paraId="0C6AFDAE" w14:textId="24628348" w:rsidR="00967299" w:rsidRDefault="00967299" w:rsidP="00967299">
      <w:pPr>
        <w:pStyle w:val="ListParagraph"/>
        <w:rPr>
          <w:rFonts w:ascii="Arial" w:hAnsi="Arial" w:cs="Arial"/>
          <w:sz w:val="22"/>
          <w:szCs w:val="22"/>
        </w:rPr>
      </w:pPr>
    </w:p>
    <w:p w14:paraId="2707AD3F" w14:textId="39766534" w:rsidR="00967299" w:rsidRDefault="00967299" w:rsidP="006D6532">
      <w:pPr>
        <w:pStyle w:val="ListParagraph"/>
        <w:numPr>
          <w:ilvl w:val="0"/>
          <w:numId w:val="25"/>
        </w:numPr>
        <w:ind w:left="284" w:right="-591" w:hanging="284"/>
        <w:rPr>
          <w:rFonts w:ascii="Arial" w:hAnsi="Arial" w:cs="Arial"/>
          <w:sz w:val="22"/>
          <w:szCs w:val="22"/>
        </w:rPr>
      </w:pPr>
      <w:r>
        <w:rPr>
          <w:rFonts w:ascii="Arial" w:hAnsi="Arial" w:cs="Arial"/>
          <w:sz w:val="22"/>
          <w:szCs w:val="22"/>
        </w:rPr>
        <w:t xml:space="preserve">Lembit reminded the WG that </w:t>
      </w:r>
      <w:r w:rsidR="006D6532">
        <w:rPr>
          <w:rFonts w:ascii="Arial" w:hAnsi="Arial" w:cs="Arial"/>
          <w:sz w:val="22"/>
          <w:szCs w:val="22"/>
        </w:rPr>
        <w:t xml:space="preserve">some </w:t>
      </w:r>
      <w:r>
        <w:rPr>
          <w:rFonts w:ascii="Arial" w:hAnsi="Arial" w:cs="Arial"/>
          <w:sz w:val="22"/>
          <w:szCs w:val="22"/>
        </w:rPr>
        <w:t>parts of Chapter 1 could be moved to the Appendix if needed.</w:t>
      </w:r>
    </w:p>
    <w:p w14:paraId="4A5DC49D" w14:textId="77777777" w:rsidR="00A7287D" w:rsidRDefault="00A7287D" w:rsidP="00EC7F19">
      <w:pPr>
        <w:pStyle w:val="ListParagraph"/>
        <w:ind w:hanging="720"/>
        <w:rPr>
          <w:rFonts w:ascii="Arial" w:hAnsi="Arial" w:cs="Arial"/>
          <w:sz w:val="22"/>
          <w:szCs w:val="22"/>
        </w:rPr>
      </w:pPr>
    </w:p>
    <w:p w14:paraId="23A20688" w14:textId="4DFF6BC5" w:rsidR="002E0004" w:rsidRPr="00607F50" w:rsidRDefault="002E0004" w:rsidP="00EC7F19">
      <w:pPr>
        <w:pStyle w:val="ListParagraph"/>
        <w:ind w:hanging="720"/>
        <w:rPr>
          <w:rFonts w:ascii="Arial" w:hAnsi="Arial" w:cs="Arial"/>
          <w:b/>
          <w:color w:val="2E74B5" w:themeColor="accent1" w:themeShade="BF"/>
          <w:sz w:val="22"/>
          <w:szCs w:val="22"/>
        </w:rPr>
      </w:pPr>
      <w:r w:rsidRPr="00607F50">
        <w:rPr>
          <w:rFonts w:ascii="Arial" w:hAnsi="Arial" w:cs="Arial"/>
          <w:b/>
          <w:color w:val="2E74B5" w:themeColor="accent1" w:themeShade="BF"/>
          <w:sz w:val="22"/>
          <w:szCs w:val="22"/>
        </w:rPr>
        <w:t>Competencies</w:t>
      </w:r>
    </w:p>
    <w:p w14:paraId="71D859BE" w14:textId="77777777" w:rsidR="00967299" w:rsidRDefault="00967299" w:rsidP="00EC7F19">
      <w:pPr>
        <w:pStyle w:val="ListParagraph"/>
        <w:ind w:hanging="720"/>
        <w:rPr>
          <w:rFonts w:ascii="Arial" w:hAnsi="Arial" w:cs="Arial"/>
          <w:b/>
          <w:sz w:val="22"/>
          <w:szCs w:val="22"/>
        </w:rPr>
      </w:pPr>
    </w:p>
    <w:p w14:paraId="7EB953C0" w14:textId="75552463" w:rsidR="002E0004" w:rsidRPr="00967299" w:rsidRDefault="008B2E61" w:rsidP="00EC7F19">
      <w:pPr>
        <w:pStyle w:val="ListParagraph"/>
        <w:ind w:hanging="720"/>
        <w:rPr>
          <w:rFonts w:ascii="Arial" w:hAnsi="Arial" w:cs="Arial"/>
          <w:b/>
          <w:sz w:val="22"/>
          <w:szCs w:val="22"/>
        </w:rPr>
      </w:pPr>
      <w:r>
        <w:rPr>
          <w:rFonts w:ascii="Arial" w:hAnsi="Arial" w:cs="Arial"/>
          <w:b/>
          <w:sz w:val="22"/>
          <w:szCs w:val="22"/>
        </w:rPr>
        <w:t>Discussion h</w:t>
      </w:r>
      <w:r w:rsidR="002E0004" w:rsidRPr="00967299">
        <w:rPr>
          <w:rFonts w:ascii="Arial" w:hAnsi="Arial" w:cs="Arial"/>
          <w:b/>
          <w:sz w:val="22"/>
          <w:szCs w:val="22"/>
        </w:rPr>
        <w:t>ighlights</w:t>
      </w:r>
    </w:p>
    <w:p w14:paraId="1FFF1714" w14:textId="5C6F4731" w:rsidR="00F24822" w:rsidRDefault="00F24822" w:rsidP="00F24822">
      <w:pPr>
        <w:pStyle w:val="ListParagraph"/>
        <w:ind w:left="567"/>
        <w:rPr>
          <w:rFonts w:ascii="Arial" w:hAnsi="Arial" w:cs="Arial"/>
          <w:sz w:val="22"/>
          <w:szCs w:val="22"/>
        </w:rPr>
      </w:pPr>
    </w:p>
    <w:p w14:paraId="340B14C5" w14:textId="40B60C2B" w:rsidR="006D6532" w:rsidRDefault="006D6532" w:rsidP="00EE5148">
      <w:pPr>
        <w:pStyle w:val="ListParagraph"/>
        <w:ind w:left="0"/>
        <w:rPr>
          <w:rFonts w:ascii="Arial" w:hAnsi="Arial" w:cs="Arial"/>
          <w:sz w:val="22"/>
          <w:szCs w:val="22"/>
          <w:u w:val="single"/>
        </w:rPr>
      </w:pPr>
      <w:r w:rsidRPr="006D6532">
        <w:rPr>
          <w:rFonts w:ascii="Arial" w:hAnsi="Arial" w:cs="Arial"/>
          <w:sz w:val="22"/>
          <w:szCs w:val="22"/>
          <w:u w:val="single"/>
        </w:rPr>
        <w:t>Setting expectations</w:t>
      </w:r>
      <w:r>
        <w:rPr>
          <w:rFonts w:ascii="Arial" w:hAnsi="Arial" w:cs="Arial"/>
          <w:sz w:val="22"/>
          <w:szCs w:val="22"/>
          <w:u w:val="single"/>
        </w:rPr>
        <w:t xml:space="preserve"> for HCPs not directly involved</w:t>
      </w:r>
    </w:p>
    <w:p w14:paraId="22FDA61D" w14:textId="77777777" w:rsidR="006D6532" w:rsidRPr="006D6532" w:rsidRDefault="006D6532" w:rsidP="00F24822">
      <w:pPr>
        <w:pStyle w:val="ListParagraph"/>
        <w:ind w:left="567"/>
        <w:rPr>
          <w:rFonts w:ascii="Arial" w:hAnsi="Arial" w:cs="Arial"/>
          <w:sz w:val="22"/>
          <w:szCs w:val="22"/>
          <w:u w:val="single"/>
        </w:rPr>
      </w:pPr>
    </w:p>
    <w:p w14:paraId="71478CC3" w14:textId="77777777" w:rsidR="00307913" w:rsidRDefault="00DF1699" w:rsidP="00EE5148">
      <w:pPr>
        <w:pStyle w:val="ListParagraph"/>
        <w:ind w:left="0" w:right="-166"/>
        <w:rPr>
          <w:rFonts w:ascii="Arial" w:hAnsi="Arial" w:cs="Arial"/>
          <w:sz w:val="22"/>
          <w:szCs w:val="22"/>
        </w:rPr>
      </w:pPr>
      <w:r w:rsidRPr="00DF1699">
        <w:rPr>
          <w:rFonts w:ascii="Arial" w:hAnsi="Arial" w:cs="Arial"/>
          <w:sz w:val="22"/>
          <w:szCs w:val="22"/>
        </w:rPr>
        <w:t>The group was reminded to exercise caution when developing the recommendations/</w:t>
      </w:r>
      <w:r>
        <w:rPr>
          <w:rFonts w:ascii="Arial" w:hAnsi="Arial" w:cs="Arial"/>
          <w:sz w:val="22"/>
          <w:szCs w:val="22"/>
        </w:rPr>
        <w:t xml:space="preserve">advice </w:t>
      </w:r>
      <w:r w:rsidRPr="00DF1699">
        <w:rPr>
          <w:rFonts w:ascii="Arial" w:hAnsi="Arial" w:cs="Arial"/>
          <w:sz w:val="22"/>
          <w:szCs w:val="22"/>
        </w:rPr>
        <w:t>for HCPs who are not directly involved in meds dev which is a large proportion of HCPs today. This audience has little or no interaction with clinical trials, the pharmaceutical industry or medicines development. So, the report should not “overstep the mark” and expect more from these HCPs or the people who will train them, than what can be reasonably expected in an increasingly crowded and complex educational world.</w:t>
      </w:r>
    </w:p>
    <w:p w14:paraId="4E26CC84" w14:textId="77777777" w:rsidR="00307913" w:rsidRDefault="00307913" w:rsidP="00EE5148">
      <w:pPr>
        <w:pStyle w:val="ListParagraph"/>
        <w:ind w:left="0"/>
        <w:rPr>
          <w:rFonts w:ascii="Arial" w:hAnsi="Arial" w:cs="Arial"/>
          <w:sz w:val="22"/>
          <w:szCs w:val="22"/>
        </w:rPr>
      </w:pPr>
    </w:p>
    <w:p w14:paraId="49E41AC3" w14:textId="2467F724" w:rsidR="00DF1699" w:rsidRDefault="00307913" w:rsidP="00EE5148">
      <w:pPr>
        <w:pStyle w:val="ListParagraph"/>
        <w:ind w:left="0"/>
        <w:jc w:val="both"/>
        <w:rPr>
          <w:rFonts w:ascii="Arial" w:hAnsi="Arial" w:cs="Arial"/>
          <w:sz w:val="22"/>
          <w:szCs w:val="22"/>
        </w:rPr>
      </w:pPr>
      <w:r>
        <w:rPr>
          <w:rFonts w:ascii="Arial" w:hAnsi="Arial" w:cs="Arial"/>
          <w:sz w:val="22"/>
          <w:szCs w:val="22"/>
        </w:rPr>
        <w:t>In connection with the above comment, m</w:t>
      </w:r>
      <w:r w:rsidR="00DF1699">
        <w:rPr>
          <w:rFonts w:ascii="Arial" w:hAnsi="Arial" w:cs="Arial"/>
          <w:sz w:val="22"/>
          <w:szCs w:val="22"/>
        </w:rPr>
        <w:t>aybe the WG could be more prescriptive about competencies for HCPs who are directly involved</w:t>
      </w:r>
      <w:r w:rsidR="009A1DD3">
        <w:rPr>
          <w:rFonts w:ascii="Arial" w:hAnsi="Arial" w:cs="Arial"/>
          <w:sz w:val="22"/>
          <w:szCs w:val="22"/>
        </w:rPr>
        <w:t xml:space="preserve"> and less so, for</w:t>
      </w:r>
      <w:r w:rsidR="00DF1699">
        <w:rPr>
          <w:rFonts w:ascii="Arial" w:hAnsi="Arial" w:cs="Arial"/>
          <w:sz w:val="22"/>
          <w:szCs w:val="22"/>
        </w:rPr>
        <w:t xml:space="preserve"> HCPs who are not directly involved. </w:t>
      </w:r>
      <w:r w:rsidR="009A1DD3">
        <w:rPr>
          <w:rFonts w:ascii="Arial" w:hAnsi="Arial" w:cs="Arial"/>
          <w:sz w:val="22"/>
          <w:szCs w:val="22"/>
        </w:rPr>
        <w:t xml:space="preserve">The latter HCPs </w:t>
      </w:r>
      <w:r w:rsidR="00FD3BDA">
        <w:rPr>
          <w:rFonts w:ascii="Arial" w:hAnsi="Arial" w:cs="Arial"/>
          <w:sz w:val="22"/>
          <w:szCs w:val="22"/>
        </w:rPr>
        <w:t xml:space="preserve">should be aware [of the competencies], but the key is “trust”. </w:t>
      </w:r>
      <w:r w:rsidR="009A1DD3">
        <w:rPr>
          <w:rFonts w:ascii="Arial" w:hAnsi="Arial" w:cs="Arial"/>
          <w:sz w:val="22"/>
          <w:szCs w:val="22"/>
        </w:rPr>
        <w:t>Rather than be too detailed about the requirements, t</w:t>
      </w:r>
      <w:r w:rsidR="00FD3BDA">
        <w:rPr>
          <w:rFonts w:ascii="Arial" w:hAnsi="Arial" w:cs="Arial"/>
          <w:sz w:val="22"/>
          <w:szCs w:val="22"/>
        </w:rPr>
        <w:t>he report should aim to build trust in the healthcare system</w:t>
      </w:r>
      <w:r w:rsidR="009A1DD3">
        <w:rPr>
          <w:rFonts w:ascii="Arial" w:hAnsi="Arial" w:cs="Arial"/>
          <w:sz w:val="22"/>
          <w:szCs w:val="22"/>
        </w:rPr>
        <w:t xml:space="preserve"> as</w:t>
      </w:r>
      <w:r w:rsidR="00FD3BDA">
        <w:rPr>
          <w:rFonts w:ascii="Arial" w:hAnsi="Arial" w:cs="Arial"/>
          <w:sz w:val="22"/>
          <w:szCs w:val="22"/>
        </w:rPr>
        <w:t xml:space="preserve"> </w:t>
      </w:r>
      <w:r w:rsidR="009A1DD3">
        <w:rPr>
          <w:rFonts w:ascii="Arial" w:hAnsi="Arial" w:cs="Arial"/>
          <w:sz w:val="22"/>
          <w:szCs w:val="22"/>
        </w:rPr>
        <w:t xml:space="preserve">this is what </w:t>
      </w:r>
      <w:r w:rsidR="00FD3BDA">
        <w:rPr>
          <w:rFonts w:ascii="Arial" w:hAnsi="Arial" w:cs="Arial"/>
          <w:sz w:val="22"/>
          <w:szCs w:val="22"/>
        </w:rPr>
        <w:t xml:space="preserve">leads to better outcomes. </w:t>
      </w:r>
      <w:r w:rsidR="009A1DD3">
        <w:rPr>
          <w:rFonts w:ascii="Arial" w:hAnsi="Arial" w:cs="Arial"/>
          <w:sz w:val="22"/>
          <w:szCs w:val="22"/>
        </w:rPr>
        <w:t>(Please see</w:t>
      </w:r>
      <w:r w:rsidR="00736C9B">
        <w:rPr>
          <w:rFonts w:ascii="Arial" w:hAnsi="Arial" w:cs="Arial"/>
          <w:sz w:val="22"/>
          <w:szCs w:val="22"/>
        </w:rPr>
        <w:t xml:space="preserve"> </w:t>
      </w:r>
      <w:hyperlink r:id="rId9" w:history="1">
        <w:r w:rsidR="00736C9B" w:rsidRPr="00736C9B">
          <w:rPr>
            <w:rStyle w:val="Hyperlink"/>
            <w:rFonts w:ascii="Arial" w:hAnsi="Arial" w:cs="Arial"/>
            <w:sz w:val="22"/>
            <w:szCs w:val="22"/>
          </w:rPr>
          <w:t>Special Report by Edelman on Trust and Health</w:t>
        </w:r>
      </w:hyperlink>
      <w:r w:rsidR="009A1DD3">
        <w:rPr>
          <w:rFonts w:ascii="Arial" w:hAnsi="Arial" w:cs="Arial"/>
          <w:sz w:val="22"/>
          <w:szCs w:val="22"/>
        </w:rPr>
        <w:t>)</w:t>
      </w:r>
      <w:r w:rsidR="00FD3BDA">
        <w:rPr>
          <w:rFonts w:ascii="Arial" w:hAnsi="Arial" w:cs="Arial"/>
          <w:sz w:val="22"/>
          <w:szCs w:val="22"/>
        </w:rPr>
        <w:t xml:space="preserve"> </w:t>
      </w:r>
      <w:r w:rsidR="00736C9B">
        <w:rPr>
          <w:rFonts w:ascii="Arial" w:hAnsi="Arial" w:cs="Arial"/>
          <w:sz w:val="22"/>
          <w:szCs w:val="22"/>
        </w:rPr>
        <w:t xml:space="preserve"> </w:t>
      </w:r>
    </w:p>
    <w:p w14:paraId="096DBE24" w14:textId="6472D172" w:rsidR="006D6532" w:rsidRPr="009C4A4F" w:rsidRDefault="006D6532" w:rsidP="009C4A4F">
      <w:pPr>
        <w:rPr>
          <w:rFonts w:ascii="Arial" w:hAnsi="Arial" w:cs="Arial"/>
          <w:sz w:val="22"/>
          <w:szCs w:val="22"/>
        </w:rPr>
      </w:pPr>
    </w:p>
    <w:p w14:paraId="1E01DAAB" w14:textId="0A0F643C" w:rsidR="006D6532" w:rsidRDefault="006D6532" w:rsidP="00EE5148">
      <w:pPr>
        <w:pStyle w:val="ListParagraph"/>
        <w:ind w:left="0"/>
        <w:rPr>
          <w:rFonts w:ascii="Arial" w:hAnsi="Arial" w:cs="Arial"/>
          <w:sz w:val="22"/>
          <w:szCs w:val="22"/>
          <w:u w:val="single"/>
        </w:rPr>
      </w:pPr>
      <w:r w:rsidRPr="006D6532">
        <w:rPr>
          <w:rFonts w:ascii="Arial" w:hAnsi="Arial" w:cs="Arial"/>
          <w:sz w:val="22"/>
          <w:szCs w:val="22"/>
          <w:u w:val="single"/>
        </w:rPr>
        <w:t>Different domains?</w:t>
      </w:r>
    </w:p>
    <w:p w14:paraId="0B850AF8" w14:textId="77777777" w:rsidR="006D6532" w:rsidRPr="006D6532" w:rsidRDefault="006D6532" w:rsidP="006D6532">
      <w:pPr>
        <w:pStyle w:val="ListParagraph"/>
        <w:ind w:hanging="153"/>
        <w:rPr>
          <w:rFonts w:ascii="Arial" w:hAnsi="Arial" w:cs="Arial"/>
          <w:sz w:val="22"/>
          <w:szCs w:val="22"/>
          <w:u w:val="single"/>
        </w:rPr>
      </w:pPr>
    </w:p>
    <w:p w14:paraId="6DAC5ABF" w14:textId="5E68A780" w:rsidR="00815599" w:rsidRDefault="00FE787C" w:rsidP="00EE5148">
      <w:pPr>
        <w:pStyle w:val="ListParagraph"/>
        <w:ind w:left="0"/>
        <w:rPr>
          <w:rFonts w:ascii="Arial" w:hAnsi="Arial" w:cs="Arial"/>
          <w:sz w:val="22"/>
          <w:szCs w:val="22"/>
        </w:rPr>
      </w:pPr>
      <w:r w:rsidRPr="00FD6D2B">
        <w:rPr>
          <w:rFonts w:ascii="Arial" w:hAnsi="Arial" w:cs="Arial"/>
          <w:sz w:val="22"/>
          <w:szCs w:val="22"/>
        </w:rPr>
        <w:t>IFAPP and JTF cover most of the competencies for HCPS so the CIOMS report can keep</w:t>
      </w:r>
      <w:r w:rsidR="006604EB" w:rsidRPr="00FD6D2B">
        <w:rPr>
          <w:rFonts w:ascii="Arial" w:hAnsi="Arial" w:cs="Arial"/>
          <w:sz w:val="22"/>
          <w:szCs w:val="22"/>
        </w:rPr>
        <w:t xml:space="preserve"> the domains </w:t>
      </w:r>
      <w:r w:rsidR="00787326" w:rsidRPr="00FD6D2B">
        <w:rPr>
          <w:rFonts w:ascii="Arial" w:hAnsi="Arial" w:cs="Arial"/>
          <w:sz w:val="22"/>
          <w:szCs w:val="22"/>
        </w:rPr>
        <w:t xml:space="preserve">on a </w:t>
      </w:r>
      <w:r w:rsidR="006604EB" w:rsidRPr="00FD6D2B">
        <w:rPr>
          <w:rFonts w:ascii="Arial" w:hAnsi="Arial" w:cs="Arial"/>
          <w:sz w:val="22"/>
          <w:szCs w:val="22"/>
        </w:rPr>
        <w:t xml:space="preserve">general </w:t>
      </w:r>
      <w:r w:rsidR="00787326" w:rsidRPr="00FD6D2B">
        <w:rPr>
          <w:rFonts w:ascii="Arial" w:hAnsi="Arial" w:cs="Arial"/>
          <w:sz w:val="22"/>
          <w:szCs w:val="22"/>
        </w:rPr>
        <w:t xml:space="preserve">level </w:t>
      </w:r>
      <w:r w:rsidR="006604EB" w:rsidRPr="00FD6D2B">
        <w:rPr>
          <w:rFonts w:ascii="Arial" w:hAnsi="Arial" w:cs="Arial"/>
          <w:sz w:val="22"/>
          <w:szCs w:val="22"/>
        </w:rPr>
        <w:t>and not go into too much detail.</w:t>
      </w:r>
      <w:r w:rsidRPr="00FD6D2B">
        <w:rPr>
          <w:rFonts w:ascii="Arial" w:hAnsi="Arial" w:cs="Arial"/>
          <w:sz w:val="22"/>
          <w:szCs w:val="22"/>
        </w:rPr>
        <w:t xml:space="preserve"> R</w:t>
      </w:r>
      <w:r w:rsidR="00787326" w:rsidRPr="00FD6D2B">
        <w:rPr>
          <w:rFonts w:ascii="Arial" w:hAnsi="Arial" w:cs="Arial"/>
          <w:sz w:val="22"/>
          <w:szCs w:val="22"/>
        </w:rPr>
        <w:t xml:space="preserve">eferences </w:t>
      </w:r>
      <w:r w:rsidRPr="00FD6D2B">
        <w:rPr>
          <w:rFonts w:ascii="Arial" w:hAnsi="Arial" w:cs="Arial"/>
          <w:sz w:val="22"/>
          <w:szCs w:val="22"/>
        </w:rPr>
        <w:t>from existing curricula can be added as examples.</w:t>
      </w:r>
      <w:r w:rsidR="00A725B1" w:rsidRPr="00FD6D2B">
        <w:rPr>
          <w:rFonts w:ascii="Arial" w:hAnsi="Arial" w:cs="Arial"/>
          <w:sz w:val="22"/>
          <w:szCs w:val="22"/>
        </w:rPr>
        <w:t xml:space="preserve"> </w:t>
      </w:r>
      <w:r w:rsidR="005A4590" w:rsidRPr="00FD6D2B">
        <w:rPr>
          <w:rFonts w:ascii="Arial" w:hAnsi="Arial" w:cs="Arial"/>
          <w:sz w:val="22"/>
          <w:szCs w:val="22"/>
        </w:rPr>
        <w:t>Do the different HCP audiences really require different domains? Couldn’t the domains be the same</w:t>
      </w:r>
      <w:r w:rsidR="00781C7A">
        <w:rPr>
          <w:rFonts w:ascii="Arial" w:hAnsi="Arial" w:cs="Arial"/>
          <w:sz w:val="22"/>
          <w:szCs w:val="22"/>
        </w:rPr>
        <w:t xml:space="preserve"> for both groups</w:t>
      </w:r>
      <w:r w:rsidR="0023441B" w:rsidRPr="00FD6D2B">
        <w:rPr>
          <w:rFonts w:ascii="Arial" w:hAnsi="Arial" w:cs="Arial"/>
          <w:sz w:val="22"/>
          <w:szCs w:val="22"/>
        </w:rPr>
        <w:t xml:space="preserve">, but </w:t>
      </w:r>
      <w:r w:rsidR="00781C7A">
        <w:rPr>
          <w:rFonts w:ascii="Arial" w:hAnsi="Arial" w:cs="Arial"/>
          <w:sz w:val="22"/>
          <w:szCs w:val="22"/>
        </w:rPr>
        <w:t xml:space="preserve">have </w:t>
      </w:r>
      <w:r w:rsidR="005A4590" w:rsidRPr="00FD6D2B">
        <w:rPr>
          <w:rFonts w:ascii="Arial" w:hAnsi="Arial" w:cs="Arial"/>
          <w:sz w:val="22"/>
          <w:szCs w:val="22"/>
        </w:rPr>
        <w:t xml:space="preserve">different levels of competency </w:t>
      </w:r>
      <w:r w:rsidR="008772BD">
        <w:rPr>
          <w:rFonts w:ascii="Arial" w:hAnsi="Arial" w:cs="Arial"/>
          <w:sz w:val="22"/>
          <w:szCs w:val="22"/>
        </w:rPr>
        <w:t xml:space="preserve">(e.g. three levels) </w:t>
      </w:r>
      <w:r w:rsidR="0023441B" w:rsidRPr="00FD6D2B">
        <w:rPr>
          <w:rFonts w:ascii="Arial" w:hAnsi="Arial" w:cs="Arial"/>
          <w:sz w:val="22"/>
          <w:szCs w:val="22"/>
        </w:rPr>
        <w:t>in each to suit the various</w:t>
      </w:r>
      <w:r w:rsidR="005A4590" w:rsidRPr="00FD6D2B">
        <w:rPr>
          <w:rFonts w:ascii="Arial" w:hAnsi="Arial" w:cs="Arial"/>
          <w:sz w:val="22"/>
          <w:szCs w:val="22"/>
        </w:rPr>
        <w:t xml:space="preserve"> audiences? </w:t>
      </w:r>
    </w:p>
    <w:p w14:paraId="123483F0" w14:textId="4EE84C96" w:rsidR="002A2BF9" w:rsidRDefault="002A2BF9" w:rsidP="00EE5148">
      <w:pPr>
        <w:pStyle w:val="ListParagraph"/>
        <w:ind w:left="0"/>
        <w:rPr>
          <w:rFonts w:ascii="Arial" w:hAnsi="Arial" w:cs="Arial"/>
          <w:sz w:val="22"/>
          <w:szCs w:val="22"/>
          <w:u w:val="single"/>
        </w:rPr>
      </w:pPr>
      <w:r>
        <w:rPr>
          <w:rFonts w:ascii="Arial" w:hAnsi="Arial" w:cs="Arial"/>
          <w:sz w:val="22"/>
          <w:szCs w:val="22"/>
          <w:u w:val="single"/>
        </w:rPr>
        <w:lastRenderedPageBreak/>
        <w:t>How to distinguish</w:t>
      </w:r>
      <w:bookmarkStart w:id="0" w:name="_GoBack"/>
      <w:bookmarkEnd w:id="0"/>
      <w:r>
        <w:rPr>
          <w:rFonts w:ascii="Arial" w:hAnsi="Arial" w:cs="Arial"/>
          <w:sz w:val="22"/>
          <w:szCs w:val="22"/>
          <w:u w:val="single"/>
        </w:rPr>
        <w:t xml:space="preserve"> between </w:t>
      </w:r>
      <w:r w:rsidR="006D6532" w:rsidRPr="006D6532">
        <w:rPr>
          <w:rFonts w:ascii="Arial" w:hAnsi="Arial" w:cs="Arial"/>
          <w:sz w:val="22"/>
          <w:szCs w:val="22"/>
          <w:u w:val="single"/>
        </w:rPr>
        <w:t>HCPs dir. i</w:t>
      </w:r>
      <w:r w:rsidR="006D6532">
        <w:rPr>
          <w:rFonts w:ascii="Arial" w:hAnsi="Arial" w:cs="Arial"/>
          <w:sz w:val="22"/>
          <w:szCs w:val="22"/>
          <w:u w:val="single"/>
        </w:rPr>
        <w:t>nvo</w:t>
      </w:r>
      <w:r w:rsidR="006D6532" w:rsidRPr="006D6532">
        <w:rPr>
          <w:rFonts w:ascii="Arial" w:hAnsi="Arial" w:cs="Arial"/>
          <w:sz w:val="22"/>
          <w:szCs w:val="22"/>
          <w:u w:val="single"/>
        </w:rPr>
        <w:t>l</w:t>
      </w:r>
      <w:r w:rsidR="006D6532">
        <w:rPr>
          <w:rFonts w:ascii="Arial" w:hAnsi="Arial" w:cs="Arial"/>
          <w:sz w:val="22"/>
          <w:szCs w:val="22"/>
          <w:u w:val="single"/>
        </w:rPr>
        <w:t>v</w:t>
      </w:r>
      <w:r w:rsidR="006D6532" w:rsidRPr="006D6532">
        <w:rPr>
          <w:rFonts w:ascii="Arial" w:hAnsi="Arial" w:cs="Arial"/>
          <w:sz w:val="22"/>
          <w:szCs w:val="22"/>
          <w:u w:val="single"/>
        </w:rPr>
        <w:t xml:space="preserve">ed and not dir. </w:t>
      </w:r>
      <w:r>
        <w:rPr>
          <w:rFonts w:ascii="Arial" w:hAnsi="Arial" w:cs="Arial"/>
          <w:sz w:val="22"/>
          <w:szCs w:val="22"/>
          <w:u w:val="single"/>
        </w:rPr>
        <w:t>i</w:t>
      </w:r>
      <w:r w:rsidR="006D6532" w:rsidRPr="006D6532">
        <w:rPr>
          <w:rFonts w:ascii="Arial" w:hAnsi="Arial" w:cs="Arial"/>
          <w:sz w:val="22"/>
          <w:szCs w:val="22"/>
          <w:u w:val="single"/>
        </w:rPr>
        <w:t>nvolved</w:t>
      </w:r>
      <w:r>
        <w:rPr>
          <w:rFonts w:ascii="Arial" w:hAnsi="Arial" w:cs="Arial"/>
          <w:sz w:val="22"/>
          <w:szCs w:val="22"/>
          <w:u w:val="single"/>
        </w:rPr>
        <w:t xml:space="preserve"> into two groups?</w:t>
      </w:r>
    </w:p>
    <w:p w14:paraId="40CEF25B" w14:textId="77777777" w:rsidR="00FF083A" w:rsidRDefault="00FF083A" w:rsidP="002A2BF9">
      <w:pPr>
        <w:pStyle w:val="ListParagraph"/>
        <w:ind w:hanging="153"/>
        <w:rPr>
          <w:rFonts w:ascii="Arial" w:hAnsi="Arial" w:cs="Arial"/>
          <w:sz w:val="22"/>
          <w:szCs w:val="22"/>
          <w:u w:val="single"/>
        </w:rPr>
      </w:pPr>
    </w:p>
    <w:p w14:paraId="60BA2A92" w14:textId="77777777" w:rsidR="002A2BF9" w:rsidRDefault="00815599" w:rsidP="00EE5148">
      <w:pPr>
        <w:pStyle w:val="ListParagraph"/>
        <w:ind w:left="0"/>
        <w:rPr>
          <w:rFonts w:ascii="Arial" w:hAnsi="Arial" w:cs="Arial"/>
          <w:sz w:val="22"/>
          <w:szCs w:val="22"/>
        </w:rPr>
      </w:pPr>
      <w:r>
        <w:rPr>
          <w:rFonts w:ascii="Arial" w:hAnsi="Arial" w:cs="Arial"/>
          <w:sz w:val="22"/>
          <w:szCs w:val="22"/>
        </w:rPr>
        <w:t xml:space="preserve">A point was made that </w:t>
      </w:r>
      <w:r w:rsidR="006D6532">
        <w:rPr>
          <w:rFonts w:ascii="Arial" w:hAnsi="Arial" w:cs="Arial"/>
          <w:sz w:val="22"/>
          <w:szCs w:val="22"/>
        </w:rPr>
        <w:t>maybe separating</w:t>
      </w:r>
      <w:r>
        <w:rPr>
          <w:rFonts w:ascii="Arial" w:hAnsi="Arial" w:cs="Arial"/>
          <w:sz w:val="22"/>
          <w:szCs w:val="22"/>
        </w:rPr>
        <w:t xml:space="preserve"> the HCPs </w:t>
      </w:r>
      <w:r w:rsidR="006D6532">
        <w:rPr>
          <w:rFonts w:ascii="Arial" w:hAnsi="Arial" w:cs="Arial"/>
          <w:sz w:val="22"/>
          <w:szCs w:val="22"/>
        </w:rPr>
        <w:t>int</w:t>
      </w:r>
      <w:r w:rsidR="002A2BF9">
        <w:rPr>
          <w:rFonts w:ascii="Arial" w:hAnsi="Arial" w:cs="Arial"/>
          <w:sz w:val="22"/>
          <w:szCs w:val="22"/>
        </w:rPr>
        <w:t>o two groups might be too</w:t>
      </w:r>
    </w:p>
    <w:p w14:paraId="0C4AAF44" w14:textId="77777777" w:rsidR="002A2BF9" w:rsidRDefault="00815599" w:rsidP="00EE5148">
      <w:pPr>
        <w:pStyle w:val="ListParagraph"/>
        <w:ind w:left="0"/>
        <w:rPr>
          <w:rFonts w:ascii="Arial" w:hAnsi="Arial" w:cs="Arial"/>
          <w:sz w:val="22"/>
          <w:szCs w:val="22"/>
        </w:rPr>
      </w:pPr>
      <w:proofErr w:type="gramStart"/>
      <w:r>
        <w:rPr>
          <w:rFonts w:ascii="Arial" w:hAnsi="Arial" w:cs="Arial"/>
          <w:sz w:val="22"/>
          <w:szCs w:val="22"/>
        </w:rPr>
        <w:t>simplistic</w:t>
      </w:r>
      <w:proofErr w:type="gramEnd"/>
      <w:r>
        <w:rPr>
          <w:rFonts w:ascii="Arial" w:hAnsi="Arial" w:cs="Arial"/>
          <w:sz w:val="22"/>
          <w:szCs w:val="22"/>
        </w:rPr>
        <w:t xml:space="preserve">, i.e. </w:t>
      </w:r>
      <w:r w:rsidR="006D6532">
        <w:rPr>
          <w:rFonts w:ascii="Arial" w:hAnsi="Arial" w:cs="Arial"/>
          <w:sz w:val="22"/>
          <w:szCs w:val="22"/>
        </w:rPr>
        <w:t xml:space="preserve">there are </w:t>
      </w:r>
      <w:r>
        <w:rPr>
          <w:rFonts w:ascii="Arial" w:hAnsi="Arial" w:cs="Arial"/>
          <w:sz w:val="22"/>
          <w:szCs w:val="22"/>
        </w:rPr>
        <w:t xml:space="preserve">some </w:t>
      </w:r>
      <w:r w:rsidR="00550A0D">
        <w:rPr>
          <w:rFonts w:ascii="Arial" w:hAnsi="Arial" w:cs="Arial"/>
          <w:sz w:val="22"/>
          <w:szCs w:val="22"/>
        </w:rPr>
        <w:t xml:space="preserve">HCPs whose role is exclusively to develop </w:t>
      </w:r>
      <w:r w:rsidR="00550A0D">
        <w:rPr>
          <w:rFonts w:ascii="Arial" w:hAnsi="Arial" w:cs="Arial"/>
          <w:sz w:val="22"/>
          <w:szCs w:val="22"/>
        </w:rPr>
        <w:t xml:space="preserve">medicines </w:t>
      </w:r>
      <w:r w:rsidR="002A2BF9">
        <w:rPr>
          <w:rFonts w:ascii="Arial" w:hAnsi="Arial" w:cs="Arial"/>
          <w:sz w:val="22"/>
          <w:szCs w:val="22"/>
        </w:rPr>
        <w:t>and</w:t>
      </w:r>
    </w:p>
    <w:p w14:paraId="19C72FF6" w14:textId="2EB67A72" w:rsidR="002A2BF9" w:rsidRPr="00EE5148" w:rsidRDefault="00550A0D" w:rsidP="00EE5148">
      <w:pPr>
        <w:rPr>
          <w:rFonts w:ascii="Arial" w:hAnsi="Arial" w:cs="Arial"/>
          <w:sz w:val="22"/>
          <w:szCs w:val="22"/>
        </w:rPr>
      </w:pPr>
      <w:proofErr w:type="gramStart"/>
      <w:r w:rsidRPr="00EE5148">
        <w:rPr>
          <w:rFonts w:ascii="Arial" w:hAnsi="Arial" w:cs="Arial"/>
          <w:sz w:val="22"/>
          <w:szCs w:val="22"/>
        </w:rPr>
        <w:t>keep</w:t>
      </w:r>
      <w:proofErr w:type="gramEnd"/>
      <w:r w:rsidRPr="00EE5148">
        <w:rPr>
          <w:rFonts w:ascii="Arial" w:hAnsi="Arial" w:cs="Arial"/>
          <w:sz w:val="22"/>
          <w:szCs w:val="22"/>
        </w:rPr>
        <w:t xml:space="preserve"> them on the market</w:t>
      </w:r>
      <w:r w:rsidR="00781C7A" w:rsidRPr="00EE5148">
        <w:rPr>
          <w:rFonts w:ascii="Arial" w:hAnsi="Arial" w:cs="Arial"/>
          <w:sz w:val="22"/>
          <w:szCs w:val="22"/>
        </w:rPr>
        <w:t xml:space="preserve">, be it in industry, a research organization [academia] </w:t>
      </w:r>
      <w:r w:rsidR="002A2BF9" w:rsidRPr="00EE5148">
        <w:rPr>
          <w:rFonts w:ascii="Arial" w:hAnsi="Arial" w:cs="Arial"/>
          <w:sz w:val="22"/>
          <w:szCs w:val="22"/>
        </w:rPr>
        <w:t>or</w:t>
      </w:r>
    </w:p>
    <w:p w14:paraId="35D53484" w14:textId="4DD50986" w:rsidR="002A2BF9" w:rsidRPr="00EE5148" w:rsidRDefault="00815599" w:rsidP="00EE5148">
      <w:pPr>
        <w:rPr>
          <w:rFonts w:ascii="Arial" w:hAnsi="Arial" w:cs="Arial"/>
          <w:sz w:val="22"/>
          <w:szCs w:val="22"/>
        </w:rPr>
      </w:pPr>
      <w:proofErr w:type="gramStart"/>
      <w:r w:rsidRPr="00EE5148">
        <w:rPr>
          <w:rFonts w:ascii="Arial" w:hAnsi="Arial" w:cs="Arial"/>
          <w:sz w:val="22"/>
          <w:szCs w:val="22"/>
        </w:rPr>
        <w:t>regulator</w:t>
      </w:r>
      <w:r w:rsidR="00781C7A" w:rsidRPr="00EE5148">
        <w:rPr>
          <w:rFonts w:ascii="Arial" w:hAnsi="Arial" w:cs="Arial"/>
          <w:sz w:val="22"/>
          <w:szCs w:val="22"/>
        </w:rPr>
        <w:t>y</w:t>
      </w:r>
      <w:proofErr w:type="gramEnd"/>
      <w:r w:rsidR="00781C7A" w:rsidRPr="00EE5148">
        <w:rPr>
          <w:rFonts w:ascii="Arial" w:hAnsi="Arial" w:cs="Arial"/>
          <w:sz w:val="22"/>
          <w:szCs w:val="22"/>
        </w:rPr>
        <w:t xml:space="preserve"> body. At the other end of the spectrum,</w:t>
      </w:r>
      <w:r w:rsidR="00550A0D" w:rsidRPr="00EE5148">
        <w:rPr>
          <w:rFonts w:ascii="Arial" w:hAnsi="Arial" w:cs="Arial"/>
          <w:sz w:val="22"/>
          <w:szCs w:val="22"/>
        </w:rPr>
        <w:t xml:space="preserve"> there are patients, the end </w:t>
      </w:r>
      <w:r w:rsidR="002A2BF9" w:rsidRPr="00EE5148">
        <w:rPr>
          <w:rFonts w:ascii="Arial" w:hAnsi="Arial" w:cs="Arial"/>
          <w:sz w:val="22"/>
          <w:szCs w:val="22"/>
        </w:rPr>
        <w:t>users of the</w:t>
      </w:r>
    </w:p>
    <w:p w14:paraId="67977270" w14:textId="74462B68" w:rsidR="002A2BF9" w:rsidRPr="00EE5148" w:rsidRDefault="00550A0D" w:rsidP="00EE5148">
      <w:pPr>
        <w:rPr>
          <w:rFonts w:ascii="Arial" w:hAnsi="Arial" w:cs="Arial"/>
          <w:sz w:val="22"/>
          <w:szCs w:val="22"/>
        </w:rPr>
      </w:pPr>
      <w:proofErr w:type="gramStart"/>
      <w:r w:rsidRPr="00EE5148">
        <w:rPr>
          <w:rFonts w:ascii="Arial" w:hAnsi="Arial" w:cs="Arial"/>
          <w:sz w:val="22"/>
          <w:szCs w:val="22"/>
        </w:rPr>
        <w:t>medicines</w:t>
      </w:r>
      <w:proofErr w:type="gramEnd"/>
      <w:r w:rsidRPr="00EE5148">
        <w:rPr>
          <w:rFonts w:ascii="Arial" w:hAnsi="Arial" w:cs="Arial"/>
          <w:sz w:val="22"/>
          <w:szCs w:val="22"/>
        </w:rPr>
        <w:t>, who are</w:t>
      </w:r>
      <w:r w:rsidR="00781C7A" w:rsidRPr="00EE5148">
        <w:rPr>
          <w:rFonts w:ascii="Arial" w:hAnsi="Arial" w:cs="Arial"/>
          <w:sz w:val="22"/>
          <w:szCs w:val="22"/>
        </w:rPr>
        <w:t xml:space="preserve"> not i</w:t>
      </w:r>
      <w:r w:rsidR="00663314" w:rsidRPr="00EE5148">
        <w:rPr>
          <w:rFonts w:ascii="Arial" w:hAnsi="Arial" w:cs="Arial"/>
          <w:sz w:val="22"/>
          <w:szCs w:val="22"/>
        </w:rPr>
        <w:t xml:space="preserve">nvolved in developing medicines, except </w:t>
      </w:r>
      <w:r w:rsidRPr="00EE5148">
        <w:rPr>
          <w:rFonts w:ascii="Arial" w:hAnsi="Arial" w:cs="Arial"/>
          <w:sz w:val="22"/>
          <w:szCs w:val="22"/>
        </w:rPr>
        <w:t xml:space="preserve">in cases when </w:t>
      </w:r>
      <w:r w:rsidR="002A2BF9" w:rsidRPr="00EE5148">
        <w:rPr>
          <w:rFonts w:ascii="Arial" w:hAnsi="Arial" w:cs="Arial"/>
          <w:sz w:val="22"/>
          <w:szCs w:val="22"/>
        </w:rPr>
        <w:t>they</w:t>
      </w:r>
    </w:p>
    <w:p w14:paraId="1D2C84F6" w14:textId="0E7CDF84" w:rsidR="00550A0D" w:rsidRPr="00EE5148" w:rsidRDefault="00663314" w:rsidP="00EE5148">
      <w:pPr>
        <w:rPr>
          <w:rFonts w:ascii="Arial" w:hAnsi="Arial" w:cs="Arial"/>
          <w:sz w:val="22"/>
          <w:szCs w:val="22"/>
        </w:rPr>
      </w:pPr>
      <w:proofErr w:type="gramStart"/>
      <w:r w:rsidRPr="00EE5148">
        <w:rPr>
          <w:rFonts w:ascii="Arial" w:hAnsi="Arial" w:cs="Arial"/>
          <w:sz w:val="22"/>
          <w:szCs w:val="22"/>
        </w:rPr>
        <w:t>provide</w:t>
      </w:r>
      <w:proofErr w:type="gramEnd"/>
      <w:r w:rsidRPr="00EE5148">
        <w:rPr>
          <w:rFonts w:ascii="Arial" w:hAnsi="Arial" w:cs="Arial"/>
          <w:sz w:val="22"/>
          <w:szCs w:val="22"/>
        </w:rPr>
        <w:t xml:space="preserve"> data and feedback [to regulatory authorities]</w:t>
      </w:r>
      <w:r w:rsidR="00550A0D" w:rsidRPr="00EE5148">
        <w:rPr>
          <w:rFonts w:ascii="Arial" w:hAnsi="Arial" w:cs="Arial"/>
          <w:sz w:val="22"/>
          <w:szCs w:val="22"/>
        </w:rPr>
        <w:t xml:space="preserve">. </w:t>
      </w:r>
    </w:p>
    <w:p w14:paraId="4C24FFCB" w14:textId="77777777" w:rsidR="00550A0D" w:rsidRPr="00550A0D" w:rsidRDefault="00550A0D" w:rsidP="00550A0D">
      <w:pPr>
        <w:pStyle w:val="ListParagraph"/>
        <w:rPr>
          <w:rFonts w:ascii="Arial" w:hAnsi="Arial" w:cs="Arial"/>
          <w:sz w:val="22"/>
          <w:szCs w:val="22"/>
        </w:rPr>
      </w:pPr>
    </w:p>
    <w:p w14:paraId="643EC9E6" w14:textId="3FFFE3C3" w:rsidR="00781C7A" w:rsidRPr="00EE5148" w:rsidRDefault="00550A0D" w:rsidP="00EE5148">
      <w:pPr>
        <w:rPr>
          <w:rFonts w:ascii="Arial" w:hAnsi="Arial" w:cs="Arial"/>
          <w:sz w:val="22"/>
          <w:szCs w:val="22"/>
        </w:rPr>
      </w:pPr>
      <w:r w:rsidRPr="00EE5148">
        <w:rPr>
          <w:rFonts w:ascii="Arial" w:hAnsi="Arial" w:cs="Arial"/>
          <w:sz w:val="22"/>
          <w:szCs w:val="22"/>
        </w:rPr>
        <w:t>T</w:t>
      </w:r>
      <w:r w:rsidR="00663314" w:rsidRPr="00EE5148">
        <w:rPr>
          <w:rFonts w:ascii="Arial" w:hAnsi="Arial" w:cs="Arial"/>
          <w:sz w:val="22"/>
          <w:szCs w:val="22"/>
        </w:rPr>
        <w:t xml:space="preserve">his too, </w:t>
      </w:r>
      <w:r w:rsidRPr="00EE5148">
        <w:rPr>
          <w:rFonts w:ascii="Arial" w:hAnsi="Arial" w:cs="Arial"/>
          <w:sz w:val="22"/>
          <w:szCs w:val="22"/>
        </w:rPr>
        <w:t xml:space="preserve">however, </w:t>
      </w:r>
      <w:r w:rsidR="00663314" w:rsidRPr="00EE5148">
        <w:rPr>
          <w:rFonts w:ascii="Arial" w:hAnsi="Arial" w:cs="Arial"/>
          <w:sz w:val="22"/>
          <w:szCs w:val="22"/>
        </w:rPr>
        <w:t>requires a basic understanding of why the data</w:t>
      </w:r>
      <w:r w:rsidRPr="00EE5148">
        <w:rPr>
          <w:rFonts w:ascii="Arial" w:hAnsi="Arial" w:cs="Arial"/>
          <w:sz w:val="22"/>
          <w:szCs w:val="22"/>
        </w:rPr>
        <w:t xml:space="preserve"> is important. In </w:t>
      </w:r>
      <w:r w:rsidR="00663314" w:rsidRPr="00EE5148">
        <w:rPr>
          <w:rFonts w:ascii="Arial" w:hAnsi="Arial" w:cs="Arial"/>
          <w:sz w:val="22"/>
          <w:szCs w:val="22"/>
        </w:rPr>
        <w:t>between these two extremes, there are professionals working in hospitals who treat patients, but are also involved in clinical trials</w:t>
      </w:r>
      <w:r w:rsidRPr="00EE5148">
        <w:rPr>
          <w:rFonts w:ascii="Arial" w:hAnsi="Arial" w:cs="Arial"/>
          <w:sz w:val="22"/>
          <w:szCs w:val="22"/>
        </w:rPr>
        <w:t>, but on a part- time basis</w:t>
      </w:r>
      <w:r w:rsidR="00663314" w:rsidRPr="00EE5148">
        <w:rPr>
          <w:rFonts w:ascii="Arial" w:hAnsi="Arial" w:cs="Arial"/>
          <w:sz w:val="22"/>
          <w:szCs w:val="22"/>
        </w:rPr>
        <w:t>.  S</w:t>
      </w:r>
      <w:r w:rsidRPr="00EE5148">
        <w:rPr>
          <w:rFonts w:ascii="Arial" w:hAnsi="Arial" w:cs="Arial"/>
          <w:sz w:val="22"/>
          <w:szCs w:val="22"/>
        </w:rPr>
        <w:t>o, they can be considered</w:t>
      </w:r>
      <w:r w:rsidR="00663314" w:rsidRPr="00EE5148">
        <w:rPr>
          <w:rFonts w:ascii="Arial" w:hAnsi="Arial" w:cs="Arial"/>
          <w:sz w:val="22"/>
          <w:szCs w:val="22"/>
        </w:rPr>
        <w:t xml:space="preserve"> medicines developers, but </w:t>
      </w:r>
      <w:r w:rsidRPr="00EE5148">
        <w:rPr>
          <w:rFonts w:ascii="Arial" w:hAnsi="Arial" w:cs="Arial"/>
          <w:sz w:val="22"/>
          <w:szCs w:val="22"/>
        </w:rPr>
        <w:t xml:space="preserve">not to the same degree as HCPs who work in medicines development full- time. </w:t>
      </w:r>
    </w:p>
    <w:p w14:paraId="10FB98CB" w14:textId="7397BD7E" w:rsidR="00781C7A" w:rsidRDefault="00781C7A" w:rsidP="006D6532">
      <w:pPr>
        <w:rPr>
          <w:rFonts w:ascii="Arial" w:hAnsi="Arial" w:cs="Arial"/>
          <w:sz w:val="22"/>
          <w:szCs w:val="22"/>
        </w:rPr>
      </w:pPr>
    </w:p>
    <w:p w14:paraId="1F4D73C0" w14:textId="211F8CCC" w:rsidR="006D6532" w:rsidRDefault="006D6532" w:rsidP="00EE5148">
      <w:pPr>
        <w:rPr>
          <w:rFonts w:ascii="Arial" w:hAnsi="Arial" w:cs="Arial"/>
          <w:sz w:val="22"/>
          <w:szCs w:val="22"/>
          <w:u w:val="single"/>
        </w:rPr>
      </w:pPr>
      <w:r w:rsidRPr="006D6532">
        <w:rPr>
          <w:rFonts w:ascii="Arial" w:hAnsi="Arial" w:cs="Arial"/>
          <w:sz w:val="22"/>
          <w:szCs w:val="22"/>
          <w:u w:val="single"/>
        </w:rPr>
        <w:t>Preamble</w:t>
      </w:r>
    </w:p>
    <w:p w14:paraId="52693750" w14:textId="77777777" w:rsidR="006D6532" w:rsidRPr="006D6532" w:rsidRDefault="006D6532" w:rsidP="006D6532">
      <w:pPr>
        <w:ind w:firstLine="567"/>
        <w:rPr>
          <w:rFonts w:ascii="Arial" w:hAnsi="Arial" w:cs="Arial"/>
          <w:sz w:val="22"/>
          <w:szCs w:val="22"/>
          <w:u w:val="single"/>
        </w:rPr>
      </w:pPr>
    </w:p>
    <w:p w14:paraId="74B85801" w14:textId="7A2D3148" w:rsidR="005A4590" w:rsidRPr="00EE5148" w:rsidRDefault="00FE787C" w:rsidP="00EE5148">
      <w:pPr>
        <w:rPr>
          <w:rFonts w:ascii="Arial" w:hAnsi="Arial" w:cs="Arial"/>
          <w:sz w:val="22"/>
          <w:szCs w:val="22"/>
        </w:rPr>
      </w:pPr>
      <w:r w:rsidRPr="00EE5148">
        <w:rPr>
          <w:rFonts w:ascii="Arial" w:hAnsi="Arial" w:cs="Arial"/>
          <w:sz w:val="22"/>
          <w:szCs w:val="22"/>
        </w:rPr>
        <w:t xml:space="preserve">The </w:t>
      </w:r>
      <w:r w:rsidR="00035280" w:rsidRPr="00EE5148">
        <w:rPr>
          <w:rFonts w:ascii="Arial" w:hAnsi="Arial" w:cs="Arial"/>
          <w:sz w:val="22"/>
          <w:szCs w:val="22"/>
        </w:rPr>
        <w:t xml:space="preserve">WG discussed the </w:t>
      </w:r>
      <w:r w:rsidRPr="00EE5148">
        <w:rPr>
          <w:rFonts w:ascii="Arial" w:hAnsi="Arial" w:cs="Arial"/>
          <w:sz w:val="22"/>
          <w:szCs w:val="22"/>
        </w:rPr>
        <w:t xml:space="preserve">Preamble </w:t>
      </w:r>
      <w:r w:rsidR="00035280" w:rsidRPr="00EE5148">
        <w:rPr>
          <w:rFonts w:ascii="Arial" w:hAnsi="Arial" w:cs="Arial"/>
          <w:sz w:val="22"/>
          <w:szCs w:val="22"/>
        </w:rPr>
        <w:t xml:space="preserve">(for HCPS not directly involved in meds dev) which was prepared by </w:t>
      </w:r>
      <w:proofErr w:type="spellStart"/>
      <w:r w:rsidR="00035280" w:rsidRPr="00EE5148">
        <w:rPr>
          <w:rFonts w:ascii="Arial" w:hAnsi="Arial" w:cs="Arial"/>
          <w:sz w:val="22"/>
          <w:szCs w:val="22"/>
        </w:rPr>
        <w:t>Nilima</w:t>
      </w:r>
      <w:proofErr w:type="spellEnd"/>
      <w:r w:rsidR="00035280" w:rsidRPr="00EE5148">
        <w:rPr>
          <w:rFonts w:ascii="Arial" w:hAnsi="Arial" w:cs="Arial"/>
          <w:sz w:val="22"/>
          <w:szCs w:val="22"/>
        </w:rPr>
        <w:t xml:space="preserve"> and includes comments from Lembit and Priya. Does each HCP audience </w:t>
      </w:r>
      <w:r w:rsidR="0023441B" w:rsidRPr="00EE5148">
        <w:rPr>
          <w:rFonts w:ascii="Arial" w:hAnsi="Arial" w:cs="Arial"/>
          <w:sz w:val="22"/>
          <w:szCs w:val="22"/>
        </w:rPr>
        <w:t>need</w:t>
      </w:r>
      <w:r w:rsidR="00035280" w:rsidRPr="00EE5148">
        <w:rPr>
          <w:rFonts w:ascii="Arial" w:hAnsi="Arial" w:cs="Arial"/>
          <w:sz w:val="22"/>
          <w:szCs w:val="22"/>
        </w:rPr>
        <w:t xml:space="preserve"> its own preamble or can one be drafted that is appropriate for all? </w:t>
      </w:r>
    </w:p>
    <w:p w14:paraId="236F5741" w14:textId="50231B25" w:rsidR="0023441B" w:rsidRDefault="0023441B" w:rsidP="006D6532">
      <w:pPr>
        <w:ind w:left="567"/>
        <w:rPr>
          <w:rFonts w:ascii="Arial" w:hAnsi="Arial" w:cs="Arial"/>
          <w:sz w:val="22"/>
          <w:szCs w:val="22"/>
        </w:rPr>
      </w:pPr>
    </w:p>
    <w:p w14:paraId="6DD54762" w14:textId="77A8C47E" w:rsidR="006D6532" w:rsidRDefault="006D6532" w:rsidP="00EE5148">
      <w:pPr>
        <w:rPr>
          <w:rFonts w:ascii="Arial" w:hAnsi="Arial" w:cs="Arial"/>
          <w:sz w:val="22"/>
          <w:szCs w:val="22"/>
          <w:u w:val="single"/>
        </w:rPr>
      </w:pPr>
      <w:r w:rsidRPr="006D6532">
        <w:rPr>
          <w:rFonts w:ascii="Arial" w:hAnsi="Arial" w:cs="Arial"/>
          <w:sz w:val="22"/>
          <w:szCs w:val="22"/>
          <w:u w:val="single"/>
        </w:rPr>
        <w:t>Subgroup III- Ethics</w:t>
      </w:r>
    </w:p>
    <w:p w14:paraId="2086FE00" w14:textId="77777777" w:rsidR="006D6532" w:rsidRPr="006D6532" w:rsidRDefault="006D6532" w:rsidP="006D6532">
      <w:pPr>
        <w:ind w:left="567"/>
        <w:rPr>
          <w:rFonts w:ascii="Arial" w:hAnsi="Arial" w:cs="Arial"/>
          <w:sz w:val="22"/>
          <w:szCs w:val="22"/>
          <w:u w:val="single"/>
        </w:rPr>
      </w:pPr>
    </w:p>
    <w:p w14:paraId="23FFED6A" w14:textId="32602C56" w:rsidR="00FC39DB" w:rsidRPr="00EE5148" w:rsidRDefault="008B2E61" w:rsidP="00EE5148">
      <w:pPr>
        <w:rPr>
          <w:rFonts w:ascii="Arial" w:hAnsi="Arial" w:cs="Arial"/>
          <w:sz w:val="22"/>
          <w:szCs w:val="22"/>
        </w:rPr>
      </w:pPr>
      <w:r w:rsidRPr="00EE5148">
        <w:rPr>
          <w:rFonts w:ascii="Arial" w:hAnsi="Arial" w:cs="Arial"/>
          <w:sz w:val="22"/>
          <w:szCs w:val="22"/>
        </w:rPr>
        <w:t>Regarding Subgroup III (Ethics), the WG needs to decide</w:t>
      </w:r>
      <w:r w:rsidR="00FD6D2B" w:rsidRPr="00EE5148">
        <w:rPr>
          <w:rFonts w:ascii="Arial" w:hAnsi="Arial" w:cs="Arial"/>
          <w:sz w:val="22"/>
          <w:szCs w:val="22"/>
        </w:rPr>
        <w:t xml:space="preserve"> where to insert these competencies</w:t>
      </w:r>
      <w:r w:rsidR="00F24822" w:rsidRPr="00EE5148">
        <w:rPr>
          <w:rFonts w:ascii="Arial" w:hAnsi="Arial" w:cs="Arial"/>
          <w:sz w:val="22"/>
          <w:szCs w:val="22"/>
        </w:rPr>
        <w:t xml:space="preserve">. Should </w:t>
      </w:r>
      <w:r w:rsidR="00FD6D2B" w:rsidRPr="00EE5148">
        <w:rPr>
          <w:rFonts w:ascii="Arial" w:hAnsi="Arial" w:cs="Arial"/>
          <w:sz w:val="22"/>
          <w:szCs w:val="22"/>
        </w:rPr>
        <w:t xml:space="preserve">they </w:t>
      </w:r>
      <w:r w:rsidR="00F24822" w:rsidRPr="00EE5148">
        <w:rPr>
          <w:rFonts w:ascii="Arial" w:hAnsi="Arial" w:cs="Arial"/>
          <w:sz w:val="22"/>
          <w:szCs w:val="22"/>
        </w:rPr>
        <w:t xml:space="preserve">be a stand-alone section or </w:t>
      </w:r>
      <w:r w:rsidR="00FD6D2B" w:rsidRPr="00EE5148">
        <w:rPr>
          <w:rFonts w:ascii="Arial" w:hAnsi="Arial" w:cs="Arial"/>
          <w:sz w:val="22"/>
          <w:szCs w:val="22"/>
        </w:rPr>
        <w:t>integrated into</w:t>
      </w:r>
      <w:r w:rsidR="00B445C8" w:rsidRPr="00EE5148">
        <w:rPr>
          <w:rFonts w:ascii="Arial" w:hAnsi="Arial" w:cs="Arial"/>
          <w:sz w:val="22"/>
          <w:szCs w:val="22"/>
        </w:rPr>
        <w:t xml:space="preserve"> the domains of </w:t>
      </w:r>
      <w:r w:rsidR="00F24822" w:rsidRPr="00EE5148">
        <w:rPr>
          <w:rFonts w:ascii="Arial" w:hAnsi="Arial" w:cs="Arial"/>
          <w:sz w:val="22"/>
          <w:szCs w:val="22"/>
        </w:rPr>
        <w:t>Subgroups I and II?</w:t>
      </w:r>
      <w:r w:rsidR="00E778D7" w:rsidRPr="00EE5148">
        <w:rPr>
          <w:rFonts w:ascii="Arial" w:hAnsi="Arial" w:cs="Arial"/>
          <w:sz w:val="22"/>
          <w:szCs w:val="22"/>
        </w:rPr>
        <w:t xml:space="preserve"> </w:t>
      </w:r>
      <w:r w:rsidR="00307913" w:rsidRPr="00EE5148">
        <w:rPr>
          <w:rFonts w:ascii="Arial" w:hAnsi="Arial" w:cs="Arial"/>
          <w:sz w:val="22"/>
          <w:szCs w:val="22"/>
        </w:rPr>
        <w:t>The</w:t>
      </w:r>
      <w:r w:rsidR="005A4590" w:rsidRPr="00EE5148">
        <w:rPr>
          <w:rFonts w:ascii="Arial" w:hAnsi="Arial" w:cs="Arial"/>
          <w:sz w:val="22"/>
          <w:szCs w:val="22"/>
        </w:rPr>
        <w:t xml:space="preserve"> WG will</w:t>
      </w:r>
      <w:r w:rsidR="00FD6D2B" w:rsidRPr="00EE5148">
        <w:rPr>
          <w:rFonts w:ascii="Arial" w:hAnsi="Arial" w:cs="Arial"/>
          <w:sz w:val="22"/>
          <w:szCs w:val="22"/>
        </w:rPr>
        <w:t xml:space="preserve"> discuss this and</w:t>
      </w:r>
      <w:r w:rsidR="005A4590" w:rsidRPr="00EE5148">
        <w:rPr>
          <w:rFonts w:ascii="Arial" w:hAnsi="Arial" w:cs="Arial"/>
          <w:sz w:val="22"/>
          <w:szCs w:val="22"/>
        </w:rPr>
        <w:t xml:space="preserve"> finalize the domains for</w:t>
      </w:r>
      <w:r w:rsidR="00307913" w:rsidRPr="00EE5148">
        <w:rPr>
          <w:rFonts w:ascii="Arial" w:hAnsi="Arial" w:cs="Arial"/>
          <w:sz w:val="22"/>
          <w:szCs w:val="22"/>
        </w:rPr>
        <w:t xml:space="preserve"> Subgroups I and II</w:t>
      </w:r>
      <w:r w:rsidR="00FD6D2B" w:rsidRPr="00EE5148">
        <w:rPr>
          <w:rFonts w:ascii="Arial" w:hAnsi="Arial" w:cs="Arial"/>
          <w:sz w:val="22"/>
          <w:szCs w:val="22"/>
        </w:rPr>
        <w:t xml:space="preserve"> first and then, address </w:t>
      </w:r>
      <w:r w:rsidR="00307913" w:rsidRPr="00EE5148">
        <w:rPr>
          <w:rFonts w:ascii="Arial" w:hAnsi="Arial" w:cs="Arial"/>
          <w:sz w:val="22"/>
          <w:szCs w:val="22"/>
        </w:rPr>
        <w:t>the Ethics competencies at a later stage.</w:t>
      </w:r>
      <w:r w:rsidR="00FC39DB" w:rsidRPr="00EE5148">
        <w:rPr>
          <w:rFonts w:ascii="Arial" w:hAnsi="Arial" w:cs="Arial"/>
          <w:sz w:val="22"/>
          <w:szCs w:val="22"/>
        </w:rPr>
        <w:t xml:space="preserve"> A call will be held for members of Subgroups I and II for this purpose.</w:t>
      </w:r>
    </w:p>
    <w:p w14:paraId="4E8CA7E8" w14:textId="7E12D958" w:rsidR="00F24822" w:rsidRDefault="00F24822" w:rsidP="00EC7F19">
      <w:pPr>
        <w:pStyle w:val="ListParagraph"/>
        <w:ind w:hanging="720"/>
        <w:rPr>
          <w:rFonts w:ascii="Arial" w:hAnsi="Arial" w:cs="Arial"/>
          <w:sz w:val="22"/>
          <w:szCs w:val="22"/>
        </w:rPr>
      </w:pPr>
    </w:p>
    <w:p w14:paraId="003AC89E" w14:textId="2ACA5853" w:rsidR="00F24822" w:rsidRPr="00F24822" w:rsidRDefault="00F24822" w:rsidP="00EC7F19">
      <w:pPr>
        <w:pStyle w:val="ListParagraph"/>
        <w:ind w:hanging="720"/>
        <w:rPr>
          <w:rFonts w:ascii="Arial" w:hAnsi="Arial" w:cs="Arial"/>
          <w:b/>
          <w:color w:val="2E74B5" w:themeColor="accent1" w:themeShade="BF"/>
          <w:sz w:val="22"/>
          <w:szCs w:val="22"/>
        </w:rPr>
      </w:pPr>
      <w:r w:rsidRPr="00F24822">
        <w:rPr>
          <w:rFonts w:ascii="Arial" w:hAnsi="Arial" w:cs="Arial"/>
          <w:b/>
          <w:color w:val="2E74B5" w:themeColor="accent1" w:themeShade="BF"/>
          <w:sz w:val="22"/>
          <w:szCs w:val="22"/>
        </w:rPr>
        <w:t>Recommendation suggestions</w:t>
      </w:r>
    </w:p>
    <w:p w14:paraId="4C878BAA" w14:textId="77777777" w:rsidR="005D27CB" w:rsidRDefault="005D27CB" w:rsidP="00EC7F19">
      <w:pPr>
        <w:pStyle w:val="ListParagraph"/>
        <w:ind w:hanging="720"/>
        <w:rPr>
          <w:rFonts w:ascii="Arial" w:hAnsi="Arial" w:cs="Arial"/>
          <w:sz w:val="22"/>
          <w:szCs w:val="22"/>
        </w:rPr>
      </w:pPr>
    </w:p>
    <w:p w14:paraId="2FAB3D33" w14:textId="3356456B" w:rsidR="00F24822" w:rsidRPr="005D27CB" w:rsidRDefault="005D27CB" w:rsidP="00EC7F19">
      <w:pPr>
        <w:pStyle w:val="ListParagraph"/>
        <w:ind w:hanging="720"/>
        <w:rPr>
          <w:rFonts w:ascii="Arial" w:hAnsi="Arial" w:cs="Arial"/>
          <w:b/>
          <w:sz w:val="22"/>
          <w:szCs w:val="22"/>
        </w:rPr>
      </w:pPr>
      <w:r w:rsidRPr="005D27CB">
        <w:rPr>
          <w:rFonts w:ascii="Arial" w:hAnsi="Arial" w:cs="Arial"/>
          <w:b/>
          <w:sz w:val="22"/>
          <w:szCs w:val="22"/>
        </w:rPr>
        <w:t>Discussion highlights</w:t>
      </w:r>
    </w:p>
    <w:p w14:paraId="0FB1F13E" w14:textId="77777777" w:rsidR="005D27CB" w:rsidRDefault="005D27CB" w:rsidP="00EC7F19">
      <w:pPr>
        <w:pStyle w:val="ListParagraph"/>
        <w:ind w:hanging="720"/>
        <w:rPr>
          <w:rFonts w:ascii="Arial" w:hAnsi="Arial" w:cs="Arial"/>
          <w:sz w:val="22"/>
          <w:szCs w:val="22"/>
        </w:rPr>
      </w:pPr>
    </w:p>
    <w:p w14:paraId="29B71A7E" w14:textId="03119655" w:rsidR="00F24822" w:rsidRDefault="00F24822" w:rsidP="00227521">
      <w:pPr>
        <w:pStyle w:val="ListParagraph"/>
        <w:ind w:left="567" w:hanging="567"/>
        <w:rPr>
          <w:rFonts w:ascii="Arial" w:hAnsi="Arial" w:cs="Arial"/>
          <w:sz w:val="22"/>
          <w:szCs w:val="22"/>
        </w:rPr>
      </w:pPr>
      <w:r w:rsidRPr="00F24822">
        <w:rPr>
          <w:rFonts w:ascii="Arial" w:hAnsi="Arial" w:cs="Arial"/>
          <w:sz w:val="22"/>
          <w:szCs w:val="22"/>
        </w:rPr>
        <w:t>-</w:t>
      </w:r>
      <w:r w:rsidRPr="00F24822">
        <w:rPr>
          <w:rFonts w:ascii="Arial" w:hAnsi="Arial" w:cs="Arial"/>
          <w:sz w:val="22"/>
          <w:szCs w:val="22"/>
        </w:rPr>
        <w:tab/>
      </w:r>
      <w:r w:rsidR="00FC39DB">
        <w:rPr>
          <w:rFonts w:ascii="Arial" w:hAnsi="Arial" w:cs="Arial"/>
          <w:sz w:val="22"/>
          <w:szCs w:val="22"/>
        </w:rPr>
        <w:t>Recommendations received from members were grouped around a set of topics and placed in a table for enhanced readability</w:t>
      </w:r>
      <w:r w:rsidR="00227521">
        <w:rPr>
          <w:rFonts w:ascii="Arial" w:hAnsi="Arial" w:cs="Arial"/>
          <w:sz w:val="22"/>
          <w:szCs w:val="22"/>
        </w:rPr>
        <w:t xml:space="preserve"> and review by the WG</w:t>
      </w:r>
      <w:r w:rsidR="00FC39DB">
        <w:rPr>
          <w:rFonts w:ascii="Arial" w:hAnsi="Arial" w:cs="Arial"/>
          <w:sz w:val="22"/>
          <w:szCs w:val="22"/>
        </w:rPr>
        <w:t>.</w:t>
      </w:r>
      <w:r w:rsidR="006F53D8">
        <w:rPr>
          <w:rFonts w:ascii="Arial" w:hAnsi="Arial" w:cs="Arial"/>
          <w:sz w:val="22"/>
          <w:szCs w:val="22"/>
        </w:rPr>
        <w:t xml:space="preserve"> </w:t>
      </w:r>
    </w:p>
    <w:p w14:paraId="54C0F83F" w14:textId="77777777" w:rsidR="006F53D8" w:rsidRDefault="006F53D8" w:rsidP="00227521">
      <w:pPr>
        <w:pStyle w:val="ListParagraph"/>
        <w:ind w:left="567" w:hanging="567"/>
        <w:rPr>
          <w:rFonts w:ascii="Arial" w:hAnsi="Arial" w:cs="Arial"/>
          <w:sz w:val="22"/>
          <w:szCs w:val="22"/>
        </w:rPr>
      </w:pPr>
    </w:p>
    <w:p w14:paraId="65A2DB65" w14:textId="69275B60" w:rsidR="006F53D8" w:rsidRDefault="006F53D8" w:rsidP="00227521">
      <w:pPr>
        <w:pStyle w:val="ListParagraph"/>
        <w:ind w:left="567" w:hanging="567"/>
        <w:rPr>
          <w:rFonts w:ascii="Arial" w:hAnsi="Arial" w:cs="Arial"/>
          <w:sz w:val="22"/>
          <w:szCs w:val="22"/>
        </w:rPr>
      </w:pPr>
      <w:r>
        <w:rPr>
          <w:rFonts w:ascii="Arial" w:hAnsi="Arial" w:cs="Arial"/>
          <w:sz w:val="22"/>
          <w:szCs w:val="22"/>
        </w:rPr>
        <w:t>-</w:t>
      </w:r>
      <w:r>
        <w:rPr>
          <w:rFonts w:ascii="Arial" w:hAnsi="Arial" w:cs="Arial"/>
          <w:sz w:val="22"/>
          <w:szCs w:val="22"/>
        </w:rPr>
        <w:tab/>
        <w:t>Catherine will share the table with the WG for comment</w:t>
      </w:r>
    </w:p>
    <w:p w14:paraId="68FA53A9" w14:textId="234A974F" w:rsidR="006F53D8" w:rsidRDefault="006F53D8" w:rsidP="00227521">
      <w:pPr>
        <w:pStyle w:val="ListParagraph"/>
        <w:ind w:left="567" w:hanging="567"/>
        <w:rPr>
          <w:rFonts w:ascii="Arial" w:hAnsi="Arial" w:cs="Arial"/>
          <w:sz w:val="22"/>
          <w:szCs w:val="22"/>
        </w:rPr>
      </w:pPr>
    </w:p>
    <w:p w14:paraId="7F9B7BCD" w14:textId="6DDC6AB4" w:rsidR="006F53D8" w:rsidRPr="006F53D8" w:rsidRDefault="006F53D8" w:rsidP="00227521">
      <w:pPr>
        <w:pStyle w:val="ListParagraph"/>
        <w:ind w:left="567" w:hanging="567"/>
        <w:rPr>
          <w:rFonts w:ascii="Arial" w:hAnsi="Arial" w:cs="Arial"/>
          <w:b/>
          <w:color w:val="2E74B5" w:themeColor="accent1" w:themeShade="BF"/>
          <w:sz w:val="22"/>
          <w:szCs w:val="22"/>
        </w:rPr>
      </w:pPr>
      <w:r w:rsidRPr="006F53D8">
        <w:rPr>
          <w:rFonts w:ascii="Arial" w:hAnsi="Arial" w:cs="Arial"/>
          <w:b/>
          <w:color w:val="2E74B5" w:themeColor="accent1" w:themeShade="BF"/>
          <w:sz w:val="22"/>
          <w:szCs w:val="22"/>
        </w:rPr>
        <w:t>Editorial Committee</w:t>
      </w:r>
      <w:r>
        <w:rPr>
          <w:rFonts w:ascii="Arial" w:hAnsi="Arial" w:cs="Arial"/>
          <w:b/>
          <w:color w:val="2E74B5" w:themeColor="accent1" w:themeShade="BF"/>
          <w:sz w:val="22"/>
          <w:szCs w:val="22"/>
        </w:rPr>
        <w:t xml:space="preserve"> (EC)</w:t>
      </w:r>
    </w:p>
    <w:p w14:paraId="3BE488F6" w14:textId="77777777" w:rsidR="006F53D8" w:rsidRDefault="006F53D8" w:rsidP="00227521">
      <w:pPr>
        <w:pStyle w:val="ListParagraph"/>
        <w:ind w:left="567" w:hanging="567"/>
        <w:rPr>
          <w:rFonts w:ascii="Arial" w:hAnsi="Arial" w:cs="Arial"/>
          <w:sz w:val="22"/>
          <w:szCs w:val="22"/>
        </w:rPr>
      </w:pPr>
    </w:p>
    <w:p w14:paraId="692489EE" w14:textId="50B8A96D" w:rsidR="00F24822" w:rsidRDefault="0006500A" w:rsidP="00143F2C">
      <w:pPr>
        <w:pStyle w:val="ListParagraph"/>
        <w:ind w:left="0"/>
        <w:rPr>
          <w:rFonts w:ascii="Arial" w:hAnsi="Arial" w:cs="Arial"/>
          <w:sz w:val="22"/>
          <w:szCs w:val="22"/>
        </w:rPr>
      </w:pPr>
      <w:r>
        <w:rPr>
          <w:rFonts w:ascii="Arial" w:hAnsi="Arial" w:cs="Arial"/>
          <w:sz w:val="22"/>
          <w:szCs w:val="22"/>
        </w:rPr>
        <w:t>Several m</w:t>
      </w:r>
      <w:r w:rsidR="006F53D8">
        <w:rPr>
          <w:rFonts w:ascii="Arial" w:hAnsi="Arial" w:cs="Arial"/>
          <w:sz w:val="22"/>
          <w:szCs w:val="22"/>
        </w:rPr>
        <w:t xml:space="preserve">embers have </w:t>
      </w:r>
      <w:r w:rsidR="00143F2C">
        <w:rPr>
          <w:rFonts w:ascii="Arial" w:hAnsi="Arial" w:cs="Arial"/>
          <w:sz w:val="22"/>
          <w:szCs w:val="22"/>
        </w:rPr>
        <w:t xml:space="preserve">kindly put their name </w:t>
      </w:r>
      <w:r w:rsidR="006F53D8">
        <w:rPr>
          <w:rFonts w:ascii="Arial" w:hAnsi="Arial" w:cs="Arial"/>
          <w:sz w:val="22"/>
          <w:szCs w:val="22"/>
        </w:rPr>
        <w:t>forward to join the EC</w:t>
      </w:r>
      <w:r w:rsidR="00143F2C">
        <w:rPr>
          <w:rFonts w:ascii="Arial" w:hAnsi="Arial" w:cs="Arial"/>
          <w:sz w:val="22"/>
          <w:szCs w:val="22"/>
        </w:rPr>
        <w:t xml:space="preserve">. The composition will be </w:t>
      </w:r>
      <w:r w:rsidR="00FF083A">
        <w:rPr>
          <w:rFonts w:ascii="Arial" w:hAnsi="Arial" w:cs="Arial"/>
          <w:sz w:val="22"/>
          <w:szCs w:val="22"/>
        </w:rPr>
        <w:t xml:space="preserve">announced </w:t>
      </w:r>
      <w:r w:rsidR="00143F2C">
        <w:rPr>
          <w:rFonts w:ascii="Arial" w:hAnsi="Arial" w:cs="Arial"/>
          <w:sz w:val="22"/>
          <w:szCs w:val="22"/>
        </w:rPr>
        <w:t>shortly.</w:t>
      </w:r>
    </w:p>
    <w:p w14:paraId="0482391D" w14:textId="238150F7" w:rsidR="00F24822" w:rsidRDefault="00F24822" w:rsidP="00EC7F19">
      <w:pPr>
        <w:pStyle w:val="ListParagraph"/>
        <w:ind w:hanging="720"/>
        <w:rPr>
          <w:rFonts w:ascii="Arial" w:hAnsi="Arial" w:cs="Arial"/>
          <w:sz w:val="22"/>
          <w:szCs w:val="22"/>
        </w:rPr>
      </w:pPr>
    </w:p>
    <w:sectPr w:rsidR="00F24822" w:rsidSect="006D6532">
      <w:headerReference w:type="default" r:id="rId10"/>
      <w:footerReference w:type="default" r:id="rId11"/>
      <w:headerReference w:type="first" r:id="rId12"/>
      <w:pgSz w:w="11906" w:h="16838" w:code="9"/>
      <w:pgMar w:top="1440" w:right="1440" w:bottom="1276"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46777" w16cid:durableId="28B7EFBB"/>
  <w16cid:commentId w16cid:paraId="487A0EC9" w16cid:durableId="28B7F027"/>
  <w16cid:commentId w16cid:paraId="072C86E9" w16cid:durableId="28B7F096"/>
  <w16cid:commentId w16cid:paraId="74473599" w16cid:durableId="28B7F295"/>
  <w16cid:commentId w16cid:paraId="6EF8078E" w16cid:durableId="28B7F2D5"/>
  <w16cid:commentId w16cid:paraId="0A567299" w16cid:durableId="28B7F3A7"/>
  <w16cid:commentId w16cid:paraId="66AAC9BA" w16cid:durableId="28B7F43F"/>
  <w16cid:commentId w16cid:paraId="3CF92F2D" w16cid:durableId="28B7F4DF"/>
  <w16cid:commentId w16cid:paraId="37879350" w16cid:durableId="28B7F5BF"/>
  <w16cid:commentId w16cid:paraId="7F7B371D" w16cid:durableId="28B7F68F"/>
  <w16cid:commentId w16cid:paraId="083D4E2B" w16cid:durableId="28B7F6C6"/>
  <w16cid:commentId w16cid:paraId="4221AA8B" w16cid:durableId="28B7F753"/>
  <w16cid:commentId w16cid:paraId="25650372" w16cid:durableId="28B7F8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12D2" w14:textId="77777777" w:rsidR="000B1CE5" w:rsidRDefault="000B1CE5" w:rsidP="00F536CF">
      <w:r>
        <w:separator/>
      </w:r>
    </w:p>
  </w:endnote>
  <w:endnote w:type="continuationSeparator" w:id="0">
    <w:p w14:paraId="61A106AE" w14:textId="77777777" w:rsidR="000B1CE5" w:rsidRDefault="000B1CE5" w:rsidP="00F5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251225"/>
      <w:docPartObj>
        <w:docPartGallery w:val="Page Numbers (Bottom of Page)"/>
        <w:docPartUnique/>
      </w:docPartObj>
    </w:sdtPr>
    <w:sdtEndPr>
      <w:rPr>
        <w:noProof/>
      </w:rPr>
    </w:sdtEndPr>
    <w:sdtContent>
      <w:p w14:paraId="228CEE89" w14:textId="3E5391EF" w:rsidR="00B23EEF" w:rsidRDefault="00B23EEF">
        <w:pPr>
          <w:pStyle w:val="Footer"/>
          <w:jc w:val="center"/>
        </w:pPr>
        <w:r>
          <w:fldChar w:fldCharType="begin"/>
        </w:r>
        <w:r>
          <w:instrText xml:space="preserve"> PAGE   \* MERGEFORMAT </w:instrText>
        </w:r>
        <w:r>
          <w:fldChar w:fldCharType="separate"/>
        </w:r>
        <w:r w:rsidR="0001661A">
          <w:rPr>
            <w:noProof/>
          </w:rPr>
          <w:t>3</w:t>
        </w:r>
        <w:r>
          <w:rPr>
            <w:noProof/>
          </w:rPr>
          <w:fldChar w:fldCharType="end"/>
        </w:r>
      </w:p>
    </w:sdtContent>
  </w:sdt>
  <w:p w14:paraId="13A7C63A" w14:textId="77777777" w:rsidR="00B23EEF" w:rsidRDefault="00B2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45715" w14:textId="77777777" w:rsidR="000B1CE5" w:rsidRDefault="000B1CE5" w:rsidP="00F536CF">
      <w:r>
        <w:separator/>
      </w:r>
    </w:p>
  </w:footnote>
  <w:footnote w:type="continuationSeparator" w:id="0">
    <w:p w14:paraId="0DD0B1C3" w14:textId="77777777" w:rsidR="000B1CE5" w:rsidRDefault="000B1CE5" w:rsidP="00F5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9E7A" w14:textId="77777777" w:rsidR="006E71CA" w:rsidRDefault="006E71CA" w:rsidP="00F536CF">
    <w:pPr>
      <w:jc w:val="center"/>
      <w:rPr>
        <w:rFonts w:ascii="Arial" w:hAnsi="Arial" w:cs="Arial"/>
        <w:color w:val="007BB6"/>
      </w:rPr>
    </w:pPr>
  </w:p>
  <w:p w14:paraId="31666851" w14:textId="77777777" w:rsidR="006E71CA" w:rsidRPr="006E71CA" w:rsidRDefault="006E71CA" w:rsidP="00F536CF">
    <w:pPr>
      <w:jc w:val="center"/>
      <w:rPr>
        <w:rFonts w:ascii="Arial" w:hAnsi="Arial" w:cs="Arial"/>
        <w:color w:val="007BB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5123" w14:textId="1EADE885" w:rsidR="00D351DC" w:rsidRPr="00D351DC" w:rsidRDefault="00D351DC" w:rsidP="009E592E">
    <w:pPr>
      <w:pStyle w:val="Header"/>
      <w:tabs>
        <w:tab w:val="clear" w:pos="4513"/>
        <w:tab w:val="clear" w:pos="9026"/>
        <w:tab w:val="left" w:pos="3930"/>
      </w:tabs>
      <w:jc w:val="center"/>
      <w:rPr>
        <w:rFonts w:ascii="Arial" w:hAnsi="Arial" w:cs="Arial"/>
        <w:color w:val="0070C0"/>
        <w:sz w:val="24"/>
        <w:szCs w:val="24"/>
      </w:rPr>
    </w:pPr>
    <w:r w:rsidRPr="00C27CA8">
      <w:rPr>
        <w:rFonts w:ascii="Arial" w:hAnsi="Arial" w:cs="Arial"/>
        <w:color w:val="0070C0"/>
        <w:sz w:val="24"/>
        <w:szCs w:val="24"/>
      </w:rPr>
      <w:t>Council for International Organizations of Medical Sciences</w:t>
    </w:r>
  </w:p>
  <w:p w14:paraId="78A76596" w14:textId="77777777" w:rsidR="00D351DC" w:rsidRDefault="00D351DC" w:rsidP="009E592E">
    <w:pPr>
      <w:pStyle w:val="Header"/>
      <w:tabs>
        <w:tab w:val="clear" w:pos="4513"/>
        <w:tab w:val="clear" w:pos="9026"/>
        <w:tab w:val="left" w:pos="3930"/>
      </w:tabs>
      <w:jc w:val="center"/>
    </w:pPr>
  </w:p>
  <w:p w14:paraId="13D7EB74" w14:textId="7D2E9489" w:rsidR="006E71CA" w:rsidRDefault="00D351DC" w:rsidP="009E592E">
    <w:pPr>
      <w:pStyle w:val="Header"/>
      <w:tabs>
        <w:tab w:val="clear" w:pos="4513"/>
        <w:tab w:val="clear" w:pos="9026"/>
        <w:tab w:val="left" w:pos="3930"/>
      </w:tabs>
      <w:jc w:val="center"/>
    </w:pPr>
    <w:r>
      <w:rPr>
        <w:noProof/>
        <w:lang w:eastAsia="en-GB"/>
      </w:rPr>
      <w:drawing>
        <wp:inline distT="0" distB="0" distL="0" distR="0" wp14:anchorId="3F2BE529" wp14:editId="48F29DE6">
          <wp:extent cx="1012190"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3078"/>
    <w:multiLevelType w:val="hybridMultilevel"/>
    <w:tmpl w:val="85BE4AD8"/>
    <w:lvl w:ilvl="0" w:tplc="8D821B24">
      <w:start w:val="5"/>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A370E94"/>
    <w:multiLevelType w:val="hybridMultilevel"/>
    <w:tmpl w:val="D9A2BAE6"/>
    <w:lvl w:ilvl="0" w:tplc="EEBEB3D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F74B3"/>
    <w:multiLevelType w:val="hybridMultilevel"/>
    <w:tmpl w:val="2154D5D0"/>
    <w:lvl w:ilvl="0" w:tplc="3F14716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55E4E"/>
    <w:multiLevelType w:val="hybridMultilevel"/>
    <w:tmpl w:val="6636C092"/>
    <w:lvl w:ilvl="0" w:tplc="8D821B24">
      <w:start w:val="5"/>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DD6440"/>
    <w:multiLevelType w:val="hybridMultilevel"/>
    <w:tmpl w:val="2654EB24"/>
    <w:lvl w:ilvl="0" w:tplc="49CC88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91243"/>
    <w:multiLevelType w:val="hybridMultilevel"/>
    <w:tmpl w:val="EB469BC2"/>
    <w:lvl w:ilvl="0" w:tplc="544AFA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34E44"/>
    <w:multiLevelType w:val="hybridMultilevel"/>
    <w:tmpl w:val="115C3946"/>
    <w:lvl w:ilvl="0" w:tplc="B0427A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C20D1"/>
    <w:multiLevelType w:val="hybridMultilevel"/>
    <w:tmpl w:val="30B88E4C"/>
    <w:lvl w:ilvl="0" w:tplc="E2708AB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BB23E2F"/>
    <w:multiLevelType w:val="hybridMultilevel"/>
    <w:tmpl w:val="AE2A329E"/>
    <w:lvl w:ilvl="0" w:tplc="FF76FE7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E5BAF"/>
    <w:multiLevelType w:val="hybridMultilevel"/>
    <w:tmpl w:val="FD264B3E"/>
    <w:lvl w:ilvl="0" w:tplc="167013C6">
      <w:start w:val="1"/>
      <w:numFmt w:val="lowerLetter"/>
      <w:lvlText w:val="%1)"/>
      <w:lvlJc w:val="left"/>
      <w:pPr>
        <w:ind w:left="720" w:hanging="360"/>
      </w:pPr>
      <w:rPr>
        <w:rFonts w:ascii="Arial" w:eastAsia="Times New Roman" w:hAnsi="Arial" w:cs="Aria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6D86"/>
    <w:multiLevelType w:val="hybridMultilevel"/>
    <w:tmpl w:val="7C368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64CD7"/>
    <w:multiLevelType w:val="hybridMultilevel"/>
    <w:tmpl w:val="B8E8554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74A54"/>
    <w:multiLevelType w:val="hybridMultilevel"/>
    <w:tmpl w:val="C5C479AE"/>
    <w:lvl w:ilvl="0" w:tplc="93B4EF5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300AD"/>
    <w:multiLevelType w:val="hybridMultilevel"/>
    <w:tmpl w:val="FA2E4528"/>
    <w:lvl w:ilvl="0" w:tplc="E870B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D3236"/>
    <w:multiLevelType w:val="hybridMultilevel"/>
    <w:tmpl w:val="48182904"/>
    <w:lvl w:ilvl="0" w:tplc="D9C2684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23413"/>
    <w:multiLevelType w:val="hybridMultilevel"/>
    <w:tmpl w:val="2C368648"/>
    <w:lvl w:ilvl="0" w:tplc="BBCAE0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C584C"/>
    <w:multiLevelType w:val="hybridMultilevel"/>
    <w:tmpl w:val="A7CCC712"/>
    <w:lvl w:ilvl="0" w:tplc="9E1288F0">
      <w:start w:val="1"/>
      <w:numFmt w:val="upp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6D0C10"/>
    <w:multiLevelType w:val="hybridMultilevel"/>
    <w:tmpl w:val="D4869A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F901EBB"/>
    <w:multiLevelType w:val="hybridMultilevel"/>
    <w:tmpl w:val="B3ECE3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21598"/>
    <w:multiLevelType w:val="hybridMultilevel"/>
    <w:tmpl w:val="597C691E"/>
    <w:lvl w:ilvl="0" w:tplc="930E2EA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92856"/>
    <w:multiLevelType w:val="hybridMultilevel"/>
    <w:tmpl w:val="1DE2B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8537B1"/>
    <w:multiLevelType w:val="hybridMultilevel"/>
    <w:tmpl w:val="34B2F1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CE2D4B"/>
    <w:multiLevelType w:val="hybridMultilevel"/>
    <w:tmpl w:val="C074A234"/>
    <w:lvl w:ilvl="0" w:tplc="7278D9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44972"/>
    <w:multiLevelType w:val="hybridMultilevel"/>
    <w:tmpl w:val="9852EADC"/>
    <w:lvl w:ilvl="0" w:tplc="2BAA8B0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D204C"/>
    <w:multiLevelType w:val="hybridMultilevel"/>
    <w:tmpl w:val="553C51A4"/>
    <w:lvl w:ilvl="0" w:tplc="6C1A9224">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5"/>
  </w:num>
  <w:num w:numId="4">
    <w:abstractNumId w:val="24"/>
  </w:num>
  <w:num w:numId="5">
    <w:abstractNumId w:val="14"/>
  </w:num>
  <w:num w:numId="6">
    <w:abstractNumId w:val="12"/>
  </w:num>
  <w:num w:numId="7">
    <w:abstractNumId w:val="1"/>
  </w:num>
  <w:num w:numId="8">
    <w:abstractNumId w:val="9"/>
  </w:num>
  <w:num w:numId="9">
    <w:abstractNumId w:val="16"/>
  </w:num>
  <w:num w:numId="10">
    <w:abstractNumId w:val="10"/>
  </w:num>
  <w:num w:numId="11">
    <w:abstractNumId w:val="13"/>
  </w:num>
  <w:num w:numId="12">
    <w:abstractNumId w:val="6"/>
  </w:num>
  <w:num w:numId="13">
    <w:abstractNumId w:val="17"/>
  </w:num>
  <w:num w:numId="14">
    <w:abstractNumId w:val="0"/>
  </w:num>
  <w:num w:numId="15">
    <w:abstractNumId w:val="20"/>
  </w:num>
  <w:num w:numId="16">
    <w:abstractNumId w:val="21"/>
  </w:num>
  <w:num w:numId="17">
    <w:abstractNumId w:val="8"/>
  </w:num>
  <w:num w:numId="18">
    <w:abstractNumId w:val="2"/>
  </w:num>
  <w:num w:numId="19">
    <w:abstractNumId w:val="3"/>
  </w:num>
  <w:num w:numId="20">
    <w:abstractNumId w:val="18"/>
  </w:num>
  <w:num w:numId="21">
    <w:abstractNumId w:val="11"/>
  </w:num>
  <w:num w:numId="22">
    <w:abstractNumId w:val="7"/>
  </w:num>
  <w:num w:numId="23">
    <w:abstractNumId w:val="22"/>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en-GB" w:vendorID="64" w:dllVersion="131078" w:nlCheck="1" w:checkStyle="1"/>
  <w:activeWritingStyle w:appName="MSWord" w:lang="fr-CH"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98"/>
    <w:rsid w:val="0001661A"/>
    <w:rsid w:val="000169E5"/>
    <w:rsid w:val="00023109"/>
    <w:rsid w:val="000337D4"/>
    <w:rsid w:val="000349C7"/>
    <w:rsid w:val="00035280"/>
    <w:rsid w:val="000400BF"/>
    <w:rsid w:val="0004028A"/>
    <w:rsid w:val="00044C56"/>
    <w:rsid w:val="00047DEC"/>
    <w:rsid w:val="0006500A"/>
    <w:rsid w:val="00071B7E"/>
    <w:rsid w:val="000750E0"/>
    <w:rsid w:val="000774DB"/>
    <w:rsid w:val="00082497"/>
    <w:rsid w:val="00083AE0"/>
    <w:rsid w:val="00090646"/>
    <w:rsid w:val="000B0032"/>
    <w:rsid w:val="000B1CE5"/>
    <w:rsid w:val="000B1E4B"/>
    <w:rsid w:val="000B60C8"/>
    <w:rsid w:val="000C2D54"/>
    <w:rsid w:val="000D27DD"/>
    <w:rsid w:val="000E1236"/>
    <w:rsid w:val="000E68A9"/>
    <w:rsid w:val="000F2C5E"/>
    <w:rsid w:val="000F50B0"/>
    <w:rsid w:val="00101830"/>
    <w:rsid w:val="0010549A"/>
    <w:rsid w:val="00114585"/>
    <w:rsid w:val="00114B97"/>
    <w:rsid w:val="001210E9"/>
    <w:rsid w:val="00130CD9"/>
    <w:rsid w:val="00131122"/>
    <w:rsid w:val="00140234"/>
    <w:rsid w:val="00143F2C"/>
    <w:rsid w:val="00147C9F"/>
    <w:rsid w:val="001555F3"/>
    <w:rsid w:val="001616D8"/>
    <w:rsid w:val="001670E5"/>
    <w:rsid w:val="00173477"/>
    <w:rsid w:val="00173BF3"/>
    <w:rsid w:val="00182F52"/>
    <w:rsid w:val="001B0035"/>
    <w:rsid w:val="001B3326"/>
    <w:rsid w:val="001C49CC"/>
    <w:rsid w:val="001D14F5"/>
    <w:rsid w:val="001E0DB7"/>
    <w:rsid w:val="001E4FF3"/>
    <w:rsid w:val="001F126A"/>
    <w:rsid w:val="00206B98"/>
    <w:rsid w:val="0021009B"/>
    <w:rsid w:val="00225266"/>
    <w:rsid w:val="00227521"/>
    <w:rsid w:val="00233576"/>
    <w:rsid w:val="0023441B"/>
    <w:rsid w:val="00237BA3"/>
    <w:rsid w:val="002408E9"/>
    <w:rsid w:val="00240CEA"/>
    <w:rsid w:val="0024371F"/>
    <w:rsid w:val="00266E7C"/>
    <w:rsid w:val="00280A1D"/>
    <w:rsid w:val="002816F7"/>
    <w:rsid w:val="00283630"/>
    <w:rsid w:val="00286C1C"/>
    <w:rsid w:val="00297CC3"/>
    <w:rsid w:val="002A2BF9"/>
    <w:rsid w:val="002A3E96"/>
    <w:rsid w:val="002A7D6C"/>
    <w:rsid w:val="002B779B"/>
    <w:rsid w:val="002C2D11"/>
    <w:rsid w:val="002D27AE"/>
    <w:rsid w:val="002E0004"/>
    <w:rsid w:val="002F3682"/>
    <w:rsid w:val="002F4D80"/>
    <w:rsid w:val="002F5D1F"/>
    <w:rsid w:val="00303C33"/>
    <w:rsid w:val="00307913"/>
    <w:rsid w:val="00310621"/>
    <w:rsid w:val="003534DB"/>
    <w:rsid w:val="00366894"/>
    <w:rsid w:val="00371022"/>
    <w:rsid w:val="0037525E"/>
    <w:rsid w:val="0037594A"/>
    <w:rsid w:val="00383ED8"/>
    <w:rsid w:val="003845D5"/>
    <w:rsid w:val="00390FC3"/>
    <w:rsid w:val="003B68C4"/>
    <w:rsid w:val="003B71B4"/>
    <w:rsid w:val="003D5C96"/>
    <w:rsid w:val="003E282C"/>
    <w:rsid w:val="003E5A7D"/>
    <w:rsid w:val="003E5EEE"/>
    <w:rsid w:val="003F0061"/>
    <w:rsid w:val="003F4AC9"/>
    <w:rsid w:val="00403516"/>
    <w:rsid w:val="00403F00"/>
    <w:rsid w:val="00404516"/>
    <w:rsid w:val="0041215E"/>
    <w:rsid w:val="0042588D"/>
    <w:rsid w:val="0043341A"/>
    <w:rsid w:val="00462890"/>
    <w:rsid w:val="00464A47"/>
    <w:rsid w:val="00480223"/>
    <w:rsid w:val="00490799"/>
    <w:rsid w:val="00494145"/>
    <w:rsid w:val="004A04A9"/>
    <w:rsid w:val="004A545E"/>
    <w:rsid w:val="004E2265"/>
    <w:rsid w:val="004E4F4B"/>
    <w:rsid w:val="004F199C"/>
    <w:rsid w:val="004F773E"/>
    <w:rsid w:val="0051301F"/>
    <w:rsid w:val="00515724"/>
    <w:rsid w:val="00517CDC"/>
    <w:rsid w:val="00525382"/>
    <w:rsid w:val="00525B83"/>
    <w:rsid w:val="00527318"/>
    <w:rsid w:val="005453AD"/>
    <w:rsid w:val="00550A0D"/>
    <w:rsid w:val="005632C6"/>
    <w:rsid w:val="00564230"/>
    <w:rsid w:val="00587037"/>
    <w:rsid w:val="0059567A"/>
    <w:rsid w:val="005A1F0B"/>
    <w:rsid w:val="005A4590"/>
    <w:rsid w:val="005B2980"/>
    <w:rsid w:val="005C6D83"/>
    <w:rsid w:val="005D27CB"/>
    <w:rsid w:val="005D5673"/>
    <w:rsid w:val="005D7658"/>
    <w:rsid w:val="005F54E8"/>
    <w:rsid w:val="005F7F82"/>
    <w:rsid w:val="006038C5"/>
    <w:rsid w:val="00607F50"/>
    <w:rsid w:val="00623797"/>
    <w:rsid w:val="00653267"/>
    <w:rsid w:val="00656C0F"/>
    <w:rsid w:val="00656D14"/>
    <w:rsid w:val="006604EB"/>
    <w:rsid w:val="00663314"/>
    <w:rsid w:val="00667AD3"/>
    <w:rsid w:val="006866C6"/>
    <w:rsid w:val="00687B73"/>
    <w:rsid w:val="006A1EF7"/>
    <w:rsid w:val="006A203F"/>
    <w:rsid w:val="006A40C3"/>
    <w:rsid w:val="006B3C9B"/>
    <w:rsid w:val="006B51DB"/>
    <w:rsid w:val="006B61AE"/>
    <w:rsid w:val="006D6532"/>
    <w:rsid w:val="006D76DC"/>
    <w:rsid w:val="006E71CA"/>
    <w:rsid w:val="006F53D8"/>
    <w:rsid w:val="006F541B"/>
    <w:rsid w:val="00706962"/>
    <w:rsid w:val="00732FBA"/>
    <w:rsid w:val="00736C9B"/>
    <w:rsid w:val="00741640"/>
    <w:rsid w:val="00742733"/>
    <w:rsid w:val="00745D86"/>
    <w:rsid w:val="00750570"/>
    <w:rsid w:val="00764A08"/>
    <w:rsid w:val="00767E72"/>
    <w:rsid w:val="00781C7A"/>
    <w:rsid w:val="00787326"/>
    <w:rsid w:val="007A71D6"/>
    <w:rsid w:val="007C2A4C"/>
    <w:rsid w:val="007C5939"/>
    <w:rsid w:val="007C6A71"/>
    <w:rsid w:val="007D57A7"/>
    <w:rsid w:val="007E30AA"/>
    <w:rsid w:val="007F1B87"/>
    <w:rsid w:val="00806D70"/>
    <w:rsid w:val="00807767"/>
    <w:rsid w:val="00815599"/>
    <w:rsid w:val="0081738A"/>
    <w:rsid w:val="00825085"/>
    <w:rsid w:val="00833F87"/>
    <w:rsid w:val="0083412B"/>
    <w:rsid w:val="00841242"/>
    <w:rsid w:val="00843219"/>
    <w:rsid w:val="008463F7"/>
    <w:rsid w:val="00854127"/>
    <w:rsid w:val="00875F9D"/>
    <w:rsid w:val="008772BD"/>
    <w:rsid w:val="00884B88"/>
    <w:rsid w:val="00896C07"/>
    <w:rsid w:val="0089749D"/>
    <w:rsid w:val="00897EE1"/>
    <w:rsid w:val="008A250C"/>
    <w:rsid w:val="008A2953"/>
    <w:rsid w:val="008A424F"/>
    <w:rsid w:val="008B2E61"/>
    <w:rsid w:val="008C2044"/>
    <w:rsid w:val="008D57A9"/>
    <w:rsid w:val="008E17BE"/>
    <w:rsid w:val="008E2FB7"/>
    <w:rsid w:val="0090363F"/>
    <w:rsid w:val="009145CB"/>
    <w:rsid w:val="00922C85"/>
    <w:rsid w:val="009276CD"/>
    <w:rsid w:val="009317C4"/>
    <w:rsid w:val="00933F8E"/>
    <w:rsid w:val="00937E93"/>
    <w:rsid w:val="0094265F"/>
    <w:rsid w:val="0094627C"/>
    <w:rsid w:val="00952DEA"/>
    <w:rsid w:val="00963368"/>
    <w:rsid w:val="00967299"/>
    <w:rsid w:val="0097131A"/>
    <w:rsid w:val="00975AB2"/>
    <w:rsid w:val="00985C92"/>
    <w:rsid w:val="00995F03"/>
    <w:rsid w:val="00996F89"/>
    <w:rsid w:val="009974D7"/>
    <w:rsid w:val="00997698"/>
    <w:rsid w:val="009A1DD3"/>
    <w:rsid w:val="009A2026"/>
    <w:rsid w:val="009A434B"/>
    <w:rsid w:val="009B0481"/>
    <w:rsid w:val="009B6CD2"/>
    <w:rsid w:val="009C3E47"/>
    <w:rsid w:val="009C4A4F"/>
    <w:rsid w:val="009C585D"/>
    <w:rsid w:val="009C6E57"/>
    <w:rsid w:val="009D05BD"/>
    <w:rsid w:val="009E277E"/>
    <w:rsid w:val="009E592E"/>
    <w:rsid w:val="00A05037"/>
    <w:rsid w:val="00A10399"/>
    <w:rsid w:val="00A20522"/>
    <w:rsid w:val="00A2493C"/>
    <w:rsid w:val="00A26F1F"/>
    <w:rsid w:val="00A413DA"/>
    <w:rsid w:val="00A478A0"/>
    <w:rsid w:val="00A55248"/>
    <w:rsid w:val="00A656E1"/>
    <w:rsid w:val="00A6743E"/>
    <w:rsid w:val="00A67C5D"/>
    <w:rsid w:val="00A704DF"/>
    <w:rsid w:val="00A725B1"/>
    <w:rsid w:val="00A7287D"/>
    <w:rsid w:val="00A749EF"/>
    <w:rsid w:val="00A8546D"/>
    <w:rsid w:val="00A91A2B"/>
    <w:rsid w:val="00A930EC"/>
    <w:rsid w:val="00AA0064"/>
    <w:rsid w:val="00AA2ADE"/>
    <w:rsid w:val="00AB54BD"/>
    <w:rsid w:val="00AB63BC"/>
    <w:rsid w:val="00AC63FB"/>
    <w:rsid w:val="00AF0321"/>
    <w:rsid w:val="00AF12E5"/>
    <w:rsid w:val="00AF28D1"/>
    <w:rsid w:val="00AF5DC2"/>
    <w:rsid w:val="00AF76DE"/>
    <w:rsid w:val="00B0276D"/>
    <w:rsid w:val="00B23788"/>
    <w:rsid w:val="00B23EEF"/>
    <w:rsid w:val="00B33F2E"/>
    <w:rsid w:val="00B36981"/>
    <w:rsid w:val="00B43242"/>
    <w:rsid w:val="00B445C8"/>
    <w:rsid w:val="00B4695A"/>
    <w:rsid w:val="00B67F1D"/>
    <w:rsid w:val="00B73946"/>
    <w:rsid w:val="00B91E19"/>
    <w:rsid w:val="00BB4064"/>
    <w:rsid w:val="00BB42E1"/>
    <w:rsid w:val="00BB4FDB"/>
    <w:rsid w:val="00BD12F5"/>
    <w:rsid w:val="00BD1FDF"/>
    <w:rsid w:val="00BE0EEC"/>
    <w:rsid w:val="00BE1BF6"/>
    <w:rsid w:val="00BE30A2"/>
    <w:rsid w:val="00BE7CE5"/>
    <w:rsid w:val="00BF157E"/>
    <w:rsid w:val="00C07569"/>
    <w:rsid w:val="00C15780"/>
    <w:rsid w:val="00C213EA"/>
    <w:rsid w:val="00C27CA8"/>
    <w:rsid w:val="00C31C38"/>
    <w:rsid w:val="00C47E31"/>
    <w:rsid w:val="00C533B8"/>
    <w:rsid w:val="00C646DF"/>
    <w:rsid w:val="00C6641F"/>
    <w:rsid w:val="00C669A7"/>
    <w:rsid w:val="00C70AF8"/>
    <w:rsid w:val="00C801DB"/>
    <w:rsid w:val="00C8272B"/>
    <w:rsid w:val="00C84277"/>
    <w:rsid w:val="00C922A5"/>
    <w:rsid w:val="00C9556B"/>
    <w:rsid w:val="00CA2B7B"/>
    <w:rsid w:val="00CB0081"/>
    <w:rsid w:val="00CB1612"/>
    <w:rsid w:val="00CB3A34"/>
    <w:rsid w:val="00CB6CBB"/>
    <w:rsid w:val="00CC50A2"/>
    <w:rsid w:val="00CC6059"/>
    <w:rsid w:val="00CE1285"/>
    <w:rsid w:val="00CE5659"/>
    <w:rsid w:val="00CE7307"/>
    <w:rsid w:val="00D351DC"/>
    <w:rsid w:val="00D43B69"/>
    <w:rsid w:val="00D50978"/>
    <w:rsid w:val="00D7513D"/>
    <w:rsid w:val="00D92856"/>
    <w:rsid w:val="00DA58EE"/>
    <w:rsid w:val="00DC0F63"/>
    <w:rsid w:val="00DD12C0"/>
    <w:rsid w:val="00DE048D"/>
    <w:rsid w:val="00DE154D"/>
    <w:rsid w:val="00DE21F8"/>
    <w:rsid w:val="00DE55D4"/>
    <w:rsid w:val="00DE5C6B"/>
    <w:rsid w:val="00DF1699"/>
    <w:rsid w:val="00DF5AF6"/>
    <w:rsid w:val="00E00D5C"/>
    <w:rsid w:val="00E04881"/>
    <w:rsid w:val="00E13D50"/>
    <w:rsid w:val="00E146EA"/>
    <w:rsid w:val="00E1776A"/>
    <w:rsid w:val="00E4228E"/>
    <w:rsid w:val="00E51F89"/>
    <w:rsid w:val="00E64F17"/>
    <w:rsid w:val="00E76064"/>
    <w:rsid w:val="00E778D7"/>
    <w:rsid w:val="00E778E3"/>
    <w:rsid w:val="00E81D78"/>
    <w:rsid w:val="00E90068"/>
    <w:rsid w:val="00EA3579"/>
    <w:rsid w:val="00EA48C0"/>
    <w:rsid w:val="00EB042E"/>
    <w:rsid w:val="00EB3154"/>
    <w:rsid w:val="00EC43FC"/>
    <w:rsid w:val="00EC7820"/>
    <w:rsid w:val="00EC7F19"/>
    <w:rsid w:val="00EE50F1"/>
    <w:rsid w:val="00EE5148"/>
    <w:rsid w:val="00F05485"/>
    <w:rsid w:val="00F056E6"/>
    <w:rsid w:val="00F06A29"/>
    <w:rsid w:val="00F2144C"/>
    <w:rsid w:val="00F22BF6"/>
    <w:rsid w:val="00F24822"/>
    <w:rsid w:val="00F31204"/>
    <w:rsid w:val="00F32C18"/>
    <w:rsid w:val="00F33FA9"/>
    <w:rsid w:val="00F34789"/>
    <w:rsid w:val="00F47761"/>
    <w:rsid w:val="00F50DC8"/>
    <w:rsid w:val="00F536CF"/>
    <w:rsid w:val="00F651A3"/>
    <w:rsid w:val="00F70290"/>
    <w:rsid w:val="00F769E2"/>
    <w:rsid w:val="00F81E2B"/>
    <w:rsid w:val="00F82FC0"/>
    <w:rsid w:val="00F86DB0"/>
    <w:rsid w:val="00F9425C"/>
    <w:rsid w:val="00F95029"/>
    <w:rsid w:val="00F96509"/>
    <w:rsid w:val="00FA148B"/>
    <w:rsid w:val="00FA20E9"/>
    <w:rsid w:val="00FC39DB"/>
    <w:rsid w:val="00FC5BC1"/>
    <w:rsid w:val="00FD2B41"/>
    <w:rsid w:val="00FD3BDA"/>
    <w:rsid w:val="00FD6D2B"/>
    <w:rsid w:val="00FE2BB4"/>
    <w:rsid w:val="00FE787C"/>
    <w:rsid w:val="00FF0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3B2465"/>
  <w15:chartTrackingRefBased/>
  <w15:docId w15:val="{13D4F0B9-BD6E-41FD-95E9-778F0A10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536CF"/>
    <w:pPr>
      <w:keepNext/>
      <w:keepLines/>
      <w:spacing w:before="240" w:line="259" w:lineRule="auto"/>
      <w:outlineLvl w:val="0"/>
    </w:pPr>
    <w:rPr>
      <w:rFonts w:ascii="Calibri Light" w:hAnsi="Calibri Light"/>
      <w:color w:val="2F5496"/>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6C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36CF"/>
  </w:style>
  <w:style w:type="paragraph" w:styleId="Footer">
    <w:name w:val="footer"/>
    <w:basedOn w:val="Normal"/>
    <w:link w:val="FooterChar"/>
    <w:uiPriority w:val="99"/>
    <w:unhideWhenUsed/>
    <w:rsid w:val="00F536C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536CF"/>
  </w:style>
  <w:style w:type="character" w:customStyle="1" w:styleId="Heading1Char">
    <w:name w:val="Heading 1 Char"/>
    <w:basedOn w:val="DefaultParagraphFont"/>
    <w:link w:val="Heading1"/>
    <w:uiPriority w:val="9"/>
    <w:rsid w:val="00F536CF"/>
    <w:rPr>
      <w:rFonts w:ascii="Calibri Light" w:eastAsia="Times New Roman" w:hAnsi="Calibri Light" w:cs="Times New Roman"/>
      <w:color w:val="2F5496"/>
      <w:sz w:val="32"/>
      <w:szCs w:val="32"/>
    </w:rPr>
  </w:style>
  <w:style w:type="paragraph" w:styleId="ListParagraph">
    <w:name w:val="List Paragraph"/>
    <w:basedOn w:val="Normal"/>
    <w:uiPriority w:val="34"/>
    <w:qFormat/>
    <w:rsid w:val="0004028A"/>
    <w:pPr>
      <w:ind w:left="720"/>
      <w:contextualSpacing/>
    </w:pPr>
  </w:style>
  <w:style w:type="paragraph" w:styleId="FootnoteText">
    <w:name w:val="footnote text"/>
    <w:basedOn w:val="Normal"/>
    <w:link w:val="FootnoteTextChar"/>
    <w:uiPriority w:val="99"/>
    <w:semiHidden/>
    <w:unhideWhenUsed/>
    <w:rsid w:val="00963368"/>
    <w:rPr>
      <w:sz w:val="20"/>
      <w:szCs w:val="20"/>
    </w:rPr>
  </w:style>
  <w:style w:type="character" w:customStyle="1" w:styleId="FootnoteTextChar">
    <w:name w:val="Footnote Text Char"/>
    <w:basedOn w:val="DefaultParagraphFont"/>
    <w:link w:val="FootnoteText"/>
    <w:uiPriority w:val="99"/>
    <w:semiHidden/>
    <w:rsid w:val="0096336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63368"/>
    <w:rPr>
      <w:vertAlign w:val="superscript"/>
    </w:rPr>
  </w:style>
  <w:style w:type="character" w:styleId="CommentReference">
    <w:name w:val="annotation reference"/>
    <w:basedOn w:val="DefaultParagraphFont"/>
    <w:uiPriority w:val="99"/>
    <w:semiHidden/>
    <w:unhideWhenUsed/>
    <w:rsid w:val="00C922A5"/>
    <w:rPr>
      <w:sz w:val="16"/>
      <w:szCs w:val="16"/>
    </w:rPr>
  </w:style>
  <w:style w:type="paragraph" w:styleId="CommentText">
    <w:name w:val="annotation text"/>
    <w:basedOn w:val="Normal"/>
    <w:link w:val="CommentTextChar"/>
    <w:uiPriority w:val="99"/>
    <w:semiHidden/>
    <w:unhideWhenUsed/>
    <w:rsid w:val="00C922A5"/>
    <w:rPr>
      <w:sz w:val="20"/>
      <w:szCs w:val="20"/>
    </w:rPr>
  </w:style>
  <w:style w:type="character" w:customStyle="1" w:styleId="CommentTextChar">
    <w:name w:val="Comment Text Char"/>
    <w:basedOn w:val="DefaultParagraphFont"/>
    <w:link w:val="CommentText"/>
    <w:uiPriority w:val="99"/>
    <w:semiHidden/>
    <w:rsid w:val="00C922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22A5"/>
    <w:rPr>
      <w:b/>
      <w:bCs/>
    </w:rPr>
  </w:style>
  <w:style w:type="character" w:customStyle="1" w:styleId="CommentSubjectChar">
    <w:name w:val="Comment Subject Char"/>
    <w:basedOn w:val="CommentTextChar"/>
    <w:link w:val="CommentSubject"/>
    <w:uiPriority w:val="99"/>
    <w:semiHidden/>
    <w:rsid w:val="00C922A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2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A5"/>
    <w:rPr>
      <w:rFonts w:ascii="Segoe UI" w:eastAsia="Times New Roman" w:hAnsi="Segoe UI" w:cs="Segoe UI"/>
      <w:sz w:val="18"/>
      <w:szCs w:val="18"/>
      <w:lang w:eastAsia="en-GB"/>
    </w:rPr>
  </w:style>
  <w:style w:type="table" w:styleId="TableGrid">
    <w:name w:val="Table Grid"/>
    <w:basedOn w:val="TableNormal"/>
    <w:uiPriority w:val="39"/>
    <w:rsid w:val="00A0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43E"/>
    <w:rPr>
      <w:color w:val="0563C1" w:themeColor="hyperlink"/>
      <w:u w:val="single"/>
    </w:rPr>
  </w:style>
  <w:style w:type="character" w:styleId="FollowedHyperlink">
    <w:name w:val="FollowedHyperlink"/>
    <w:basedOn w:val="DefaultParagraphFont"/>
    <w:uiPriority w:val="99"/>
    <w:semiHidden/>
    <w:unhideWhenUsed/>
    <w:rsid w:val="00044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ms.ch/wp-content/uploads/2023/10/CIOMS-Education-26_10_2023_Intro-Chapter-1_Alteri.pptx"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elman.com/trust/2023/trust-barometer/special-report-healt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DE2A1-1023-459D-8917-3FF18C91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Bates</dc:creator>
  <cp:keywords/>
  <dc:description/>
  <cp:lastModifiedBy>Catherine Bates</cp:lastModifiedBy>
  <cp:revision>30</cp:revision>
  <dcterms:created xsi:type="dcterms:W3CDTF">2023-10-29T16:06:00Z</dcterms:created>
  <dcterms:modified xsi:type="dcterms:W3CDTF">2023-10-31T11:12:00Z</dcterms:modified>
</cp:coreProperties>
</file>